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安徽中医药大学第一附属医院</w:t>
      </w:r>
      <w:r>
        <w:rPr>
          <w:rFonts w:hint="eastAsia" w:ascii="宋体" w:hAnsi="宋体" w:eastAsia="宋体" w:cs="宋体"/>
          <w:sz w:val="48"/>
          <w:szCs w:val="48"/>
        </w:rPr>
        <w:t>智能充电桩询价公告</w:t>
      </w:r>
    </w:p>
    <w:p w14:paraId="6B014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安徽中医药大学第一附属医院</w:t>
      </w:r>
      <w:r>
        <w:rPr>
          <w:rFonts w:hint="eastAsia" w:ascii="宋体" w:hAnsi="宋体" w:eastAsia="宋体" w:cs="宋体"/>
          <w:sz w:val="24"/>
          <w:szCs w:val="24"/>
        </w:rPr>
        <w:t>现对电瓶车棚智能充电桩进行公开询价。</w:t>
      </w:r>
    </w:p>
    <w:p w14:paraId="5722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一、项目情况:</w:t>
      </w:r>
    </w:p>
    <w:p w14:paraId="2F7C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1.项目编号:</w:t>
      </w:r>
    </w:p>
    <w:p w14:paraId="1FEF1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2.项目名称: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安徽中医药大学第一附属医院</w:t>
      </w:r>
      <w:r>
        <w:rPr>
          <w:rFonts w:hint="eastAsia" w:ascii="宋体" w:hAnsi="宋体" w:eastAsia="宋体" w:cs="宋体"/>
          <w:sz w:val="24"/>
          <w:szCs w:val="24"/>
        </w:rPr>
        <w:t>智能充电桩公开询价项目</w:t>
      </w:r>
    </w:p>
    <w:p w14:paraId="38490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项目内容:中标方负责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现有</w:t>
      </w:r>
      <w:r>
        <w:rPr>
          <w:rFonts w:hint="eastAsia" w:ascii="宋体" w:hAnsi="宋体" w:eastAsia="宋体" w:cs="宋体"/>
          <w:sz w:val="24"/>
          <w:szCs w:val="24"/>
        </w:rPr>
        <w:t>充电设备的维护保养与负责安全生产、消防设施配置等。中标方每季度按电表电量支付院方电费，电费按中标价计算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投标方收费需符合相关法律法规，收费标准须有物价部门批文，充电收费按照充电的实际计量进行计算收费。所有纠纷由中标方负责解决，有意向投标人必须到现场勘察，投资须满足院方职工充电需求，院方不承担任何费用。</w:t>
      </w:r>
    </w:p>
    <w:p w14:paraId="5596C3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截止</w:t>
      </w:r>
      <w:r>
        <w:rPr>
          <w:rFonts w:hint="eastAsia" w:ascii="宋体" w:hAnsi="宋体" w:eastAsia="宋体" w:cs="宋体"/>
          <w:sz w:val="24"/>
          <w:szCs w:val="24"/>
        </w:rPr>
        <w:t>时间: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2025年5月23日上午9:00</w:t>
      </w:r>
    </w:p>
    <w:p w14:paraId="768936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报名地点:安徽中医药大学第一附属医院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行政楼一楼保卫部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不接受电话报名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9D3A6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开标时间: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2025年5月23日上午9:30</w:t>
      </w:r>
    </w:p>
    <w:p w14:paraId="1AA7B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(4)开标地点: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行政楼一楼保卫部办公室</w:t>
      </w:r>
      <w:bookmarkStart w:id="0" w:name="_GoBack"/>
      <w:bookmarkEnd w:id="0"/>
    </w:p>
    <w:p w14:paraId="4F27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(5)最低限价: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元/度</w:t>
      </w:r>
    </w:p>
    <w:p w14:paraId="0130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二、项目负责人资质及材料递交要求:</w:t>
      </w:r>
    </w:p>
    <w:p w14:paraId="0DC65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1.材料递交:提供投标公司资质证明材料及报价材料。</w:t>
      </w:r>
    </w:p>
    <w:p w14:paraId="13F8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2.服务期: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</w:t>
      </w:r>
    </w:p>
    <w:p w14:paraId="0475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三、预中标单位及预中标候选单位的确定</w:t>
      </w:r>
    </w:p>
    <w:p w14:paraId="1ECA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本项目由安徽中医药大学第一附属医院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归口管理部门</w:t>
      </w:r>
      <w:r>
        <w:rPr>
          <w:rFonts w:hint="eastAsia" w:ascii="宋体" w:hAnsi="宋体" w:eastAsia="宋体" w:cs="宋体"/>
          <w:sz w:val="24"/>
          <w:szCs w:val="24"/>
        </w:rPr>
        <w:t>现场拆封报价。投标报价不得低于最低限价，否则视为废标。</w:t>
      </w:r>
    </w:p>
    <w:p w14:paraId="50608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四、集中式充电桩技术参数</w:t>
      </w:r>
    </w:p>
    <w:p w14:paraId="1534B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highlight w:val="none"/>
        </w:rPr>
        <w:t>选用10 路充电桩，输入工作电压:220V，工作电压：工作电压在AC1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highlight w:val="none"/>
        </w:rPr>
        <w:t>V至2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highlight w:val="none"/>
        </w:rPr>
        <w:t>V范围内正常工作，最大负载总率:10KW，单路最大功率: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highlight w:val="none"/>
        </w:rPr>
        <w:t>00W（可调），工作温度:-20~60℃，工作湿度:小于90%不凝露，过载、短路、漏电、过流、充满自停。外形尺寸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3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highlight w:val="none"/>
        </w:rPr>
        <w:t>mm×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240</w:t>
      </w:r>
      <w:r>
        <w:rPr>
          <w:rFonts w:hint="eastAsia" w:ascii="宋体" w:hAnsi="宋体" w:eastAsia="宋体" w:cs="宋体"/>
          <w:color w:val="auto"/>
          <w:highlight w:val="none"/>
        </w:rPr>
        <w:t>mm×8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highlight w:val="none"/>
        </w:rPr>
        <w:t>mm 厚(允许偏离±3mm)，重量≤3.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highlight w:val="none"/>
        </w:rPr>
        <w:t xml:space="preserve">KG。  </w:t>
      </w:r>
    </w:p>
    <w:p w14:paraId="480D4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highlight w:val="none"/>
        </w:rPr>
        <w:t>充满自停功能：当充电器从充电红灯转为绿灯后，再进行涓流充电2小时，该路插座自动断电，用户手机端收到充电完成推送提醒。过载自停：当充电功率超过设定功率值时（后台可设单路最大10A)，该路插座自动断电，用户手机端收到充电异常报警推送。 空载断电：开启充电通道后，未插入插座，系统将在5分钟内自动关闭该路通道，并将充电金退还到客户余额里，用户手机端收到余额退回提醒。漏电检测：充电桩必须内置漏电保护器，防止漏洞触电事件。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漏电保护器应采用国内知名品牌（如正泰、德力西），具备3C认证，漏电保护器规格应不低于63A，提供产品实物照片，供货时应保持一致。</w:t>
      </w:r>
    </w:p>
    <w:p w14:paraId="7474D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highlight w:val="none"/>
        </w:rPr>
        <w:t>独立二维码功能，每台充电桩有独立的二维码。具备多种收费模式，充电桩设备支持微信、支付宝、刷卡 具备多种收费模式，每路可单独计量，采用专用计量芯片，每个通道计量精度不小于2%。</w:t>
      </w:r>
    </w:p>
    <w:p w14:paraId="6BD3B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highlight w:val="none"/>
        </w:rPr>
        <w:t>产品易维护：模块化设计，无需单路保险丝。电子防短路功能：当电流瞬间过大时，快速断开通道，响应时间小于 20ms。支持全程语音提醒播报功能。充电桩无线传输模块应通过中国质量中心的CCC 认证检测。具备雷击保护和供电电源过压保护，接地性能：充电桩需可靠接地。</w:t>
      </w:r>
    </w:p>
    <w:p w14:paraId="43F91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default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auto"/>
          <w:highlight w:val="none"/>
        </w:rPr>
        <w:t xml:space="preserve">进出电源线通过接线仓的接线柱操作，安全便捷，打开盖板通过接线仓可方便操作。  </w:t>
      </w:r>
    </w:p>
    <w:p w14:paraId="6725F1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产品采用蘑菇头隐藏式天线设计，天线及馈线不外露，不易损坏，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提供产品实物照片，供货时应保持一致。</w:t>
      </w:r>
    </w:p>
    <w:p w14:paraId="46352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color w:val="auto"/>
          <w:highlight w:val="none"/>
        </w:rPr>
        <w:t>智能充电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桩</w:t>
      </w:r>
      <w:r>
        <w:rPr>
          <w:rFonts w:hint="eastAsia" w:ascii="宋体" w:hAnsi="宋体" w:eastAsia="宋体" w:cs="宋体"/>
          <w:color w:val="auto"/>
          <w:highlight w:val="none"/>
        </w:rPr>
        <w:t>壳体采用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镀锌钢板</w:t>
      </w:r>
      <w:r>
        <w:rPr>
          <w:rFonts w:hint="eastAsia" w:ascii="宋体" w:hAnsi="宋体" w:eastAsia="宋体" w:cs="宋体"/>
          <w:color w:val="auto"/>
          <w:highlight w:val="none"/>
        </w:rPr>
        <w:t>材质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（钢板厚度不低于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1.2mm）；圆角折边设计，操作安全不伤手；360度导水槽设计，增强防水效果；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提供外壳实物半成品钣金件照片和实物成品照片，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供货时应保持一致。</w:t>
      </w:r>
    </w:p>
    <w:p w14:paraId="661EA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充电桩</w:t>
      </w:r>
      <w:r>
        <w:rPr>
          <w:rFonts w:hint="eastAsia" w:ascii="宋体" w:hAnsi="宋体" w:eastAsia="宋体" w:cs="宋体"/>
          <w:color w:val="auto"/>
          <w:highlight w:val="none"/>
        </w:rPr>
        <w:t>防水防尘等级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不低于</w:t>
      </w:r>
      <w:r>
        <w:rPr>
          <w:rFonts w:hint="eastAsia" w:ascii="宋体" w:hAnsi="宋体" w:eastAsia="宋体" w:cs="宋体"/>
          <w:color w:val="auto"/>
          <w:highlight w:val="none"/>
        </w:rPr>
        <w:t>IP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color w:val="auto"/>
          <w:highlight w:val="none"/>
        </w:rPr>
        <w:t>。（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</w:p>
    <w:p w14:paraId="4B0C0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9.</w:t>
      </w:r>
      <w:r>
        <w:rPr>
          <w:rFonts w:hint="eastAsia" w:ascii="宋体" w:hAnsi="宋体" w:eastAsia="宋体" w:cs="宋体"/>
          <w:color w:val="auto"/>
          <w:highlight w:val="none"/>
        </w:rPr>
        <w:t>自动记忆功能，4G 信号断网重新联网后恢复正常充电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491A8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highlight w:val="none"/>
        </w:rPr>
        <w:t>支持在线远程 OTA 升级，升级过程不影响充电正常功能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</w:t>
      </w:r>
    </w:p>
    <w:p w14:paraId="58DE4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11.</w:t>
      </w:r>
      <w:r>
        <w:rPr>
          <w:rFonts w:hint="eastAsia" w:ascii="宋体" w:hAnsi="宋体" w:eastAsia="宋体" w:cs="宋体"/>
          <w:color w:val="auto"/>
          <w:highlight w:val="none"/>
        </w:rPr>
        <w:t>过压保护、欠压保护：输入电压≥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253</w:t>
      </w:r>
      <w:r>
        <w:rPr>
          <w:rFonts w:hint="eastAsia" w:ascii="宋体" w:hAnsi="宋体" w:eastAsia="宋体" w:cs="宋体"/>
          <w:color w:val="auto"/>
          <w:highlight w:val="none"/>
        </w:rPr>
        <w:t>V时（可调），应自动关闭输出，电压下降到2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highlight w:val="none"/>
        </w:rPr>
        <w:t>V时应自动恢复。输入电压≤187V时（可调），应自动关闭输出，电压上升到192V时应自动恢复。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3874F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12.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过载保护：</w:t>
      </w:r>
      <w:r>
        <w:rPr>
          <w:rFonts w:hint="eastAsia" w:ascii="宋体" w:hAnsi="宋体" w:eastAsia="宋体" w:cs="宋体"/>
          <w:color w:val="auto"/>
          <w:highlight w:val="none"/>
        </w:rPr>
        <w:t>具备电子式和机械式双重过载保护功能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79B48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13.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过充保护：充电设备应具有过充保护功能，当电池充满后应具有自动断电功能。充电桩单路每次充电超过10h(默认可调)，应具有自动断电功能。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2069F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14.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短路保护：具有启动前和工作中短路保护功能。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21AE3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15.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高温保护：在25℃士5℃环境条件下，最大负载时，持续工作2h，充电插座的温升不得超过30℃;在充电插座环境温度上升到65℃时，延时 0~30min(可调)自动断电，温度下降到62℃后，应自动恢复工作。（提供第三方具备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046CB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16.</w:t>
      </w:r>
      <w:r>
        <w:rPr>
          <w:rFonts w:hint="eastAsia" w:ascii="宋体" w:hAnsi="宋体" w:eastAsia="宋体" w:cs="宋体"/>
          <w:color w:val="auto"/>
          <w:highlight w:val="none"/>
        </w:rPr>
        <w:t>泄漏电流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充电桩泄漏电流应不超过 0.25mA。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（提供第三方具备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CMA和CNAS资质的检测机构出具的检测报告，检测依据应为“Q/ZTT2501-2024《三轮/两轮电动车交流充电桩的技术要求及检测规范》”）。</w:t>
      </w:r>
    </w:p>
    <w:p w14:paraId="71201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lang w:val="en-US" w:eastAsia="zh-CN" w:bidi="ar-SA"/>
        </w:rPr>
        <w:t>17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产品责任险：产品应具备有效期内的产品责任险，产品责任险累计赔偿限额不低于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6000万元。（提供产品责任险保单复印件，保单中须包括所投产品型号）。</w:t>
      </w:r>
    </w:p>
    <w:p w14:paraId="36C2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五．管理责任</w:t>
      </w:r>
    </w:p>
    <w:p w14:paraId="640F0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  <w:lang w:eastAsia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highlight w:val="none"/>
          <w:lang w:eastAsia="en-US"/>
        </w:rPr>
        <w:t>车棚日常管理及消防安全防范由乙方负责，甲方负责监管，乙方须每周巡查一次。</w:t>
      </w:r>
    </w:p>
    <w:p w14:paraId="6B007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highlight w:val="none"/>
          <w:lang w:val="en-US" w:eastAsia="en-US"/>
        </w:rPr>
        <w:t>乙方在甲方抄录计量表后15日内按其所使用电量缴纳电费，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转入院方指定的非税财政账户。</w:t>
      </w:r>
      <w:r>
        <w:rPr>
          <w:rFonts w:hint="eastAsia" w:ascii="宋体" w:hAnsi="宋体" w:eastAsia="宋体" w:cs="宋体"/>
          <w:color w:val="auto"/>
          <w:highlight w:val="none"/>
          <w:lang w:val="en-US" w:eastAsia="en-US"/>
        </w:rPr>
        <w:t>逾期付款的，每逾期一天，乙方应向甲方支付应缴电费5%的违约金。</w:t>
      </w:r>
    </w:p>
    <w:p w14:paraId="36086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highlight w:val="none"/>
          <w:lang w:eastAsia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highlight w:val="none"/>
          <w:lang w:eastAsia="en-US"/>
        </w:rPr>
        <w:t>电动车充电桩须常年开放，确保每天24小时的充电服务时间，如遇特殊情形供电时间可做调整，但须报请甲方批准。</w:t>
      </w:r>
    </w:p>
    <w:p w14:paraId="45148937">
      <w:pPr>
        <w:widowControl/>
        <w:kinsoku w:val="0"/>
        <w:autoSpaceDE w:val="0"/>
        <w:autoSpaceDN w:val="0"/>
        <w:adjustRightInd w:val="0"/>
        <w:snapToGrid w:val="0"/>
        <w:spacing w:before="81" w:after="0" w:afterLines="-2147483648" w:afterAutospacing="0" w:line="298" w:lineRule="auto"/>
        <w:ind w:right="1247"/>
        <w:jc w:val="left"/>
        <w:textAlignment w:val="baseline"/>
        <w:rPr>
          <w:rFonts w:hint="default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en-US" w:bidi="ar-SA"/>
        </w:rPr>
        <w:t>乙方在合同期间必须有稳定、强有力的维修技术队伍，制订具体的管理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制度         </w:t>
      </w:r>
    </w:p>
    <w:p w14:paraId="408D3782">
      <w:pPr>
        <w:widowControl/>
        <w:kinsoku w:val="0"/>
        <w:autoSpaceDE w:val="0"/>
        <w:autoSpaceDN w:val="0"/>
        <w:adjustRightInd w:val="0"/>
        <w:snapToGrid w:val="0"/>
        <w:spacing w:before="81" w:after="0" w:afterLines="-2147483648" w:afterAutospacing="0" w:line="298" w:lineRule="auto"/>
        <w:ind w:right="1247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 xml:space="preserve">  组建运维团队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en-US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t>并实现7*24响应，半小时到达现场。</w:t>
      </w:r>
    </w:p>
    <w:p w14:paraId="04A94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供货事项</w:t>
      </w:r>
    </w:p>
    <w:p w14:paraId="06919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确定中标后须在7日内调试完成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包括扫码收费信息系统。</w:t>
      </w:r>
    </w:p>
    <w:p w14:paraId="4CE2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正式报名前不明事宜需当面咨询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合肥市蜀山区梅山路117号安徽中医药大学第一附属医院行政楼一楼保卫部办公室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75E77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2A6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32D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0" w:firstLineChars="1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安徽中医药大学第一附属医院</w:t>
      </w:r>
    </w:p>
    <w:p w14:paraId="691DB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080" w:firstLineChars="1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5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16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0DAB1"/>
    <w:multiLevelType w:val="singleLevel"/>
    <w:tmpl w:val="8AE0DAB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6F97"/>
    <w:rsid w:val="24C51C29"/>
    <w:rsid w:val="24D9436A"/>
    <w:rsid w:val="333D0987"/>
    <w:rsid w:val="4E176F97"/>
    <w:rsid w:val="5EB91724"/>
    <w:rsid w:val="62FA54F0"/>
    <w:rsid w:val="7D3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2330</Words>
  <Characters>2602</Characters>
  <Lines>0</Lines>
  <Paragraphs>0</Paragraphs>
  <TotalTime>7</TotalTime>
  <ScaleCrop>false</ScaleCrop>
  <LinksUpToDate>false</LinksUpToDate>
  <CharactersWithSpaces>2639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2025-04-25T01:11:00Z</dcterms:created>
  <dc:creator>王鹏飞</dc:creator>
  <cp:lastModifiedBy>QTZ</cp:lastModifiedBy>
  <dcterms:modified xsi:type="dcterms:W3CDTF">2025-05-16T10:44:32Z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FE1028D1D4794CA99B4EA2A89C4DE2C2_13</vt:lpwstr>
  </property>
  <property fmtid="{D5CDD505-2E9C-101B-9397-08002B2CF9AE}" pid="4" name="KSOTemplateDocerSaveRecord">
    <vt:lpwstr>eyJoZGlkIjoiOTI1M2RjYmVkZDE4MmViNjg3ZDQzNjM4ZmFmYzJmOWYiLCJ1c2VySWQiOiIyNTY1NjQyMzQifQ==</vt:lpwstr>
  </property>
</Properties>
</file>