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C7D69" w14:textId="4406EC64" w:rsidR="00EF1B39" w:rsidRPr="002D3CAF" w:rsidRDefault="005F2413">
      <w:pPr>
        <w:rPr>
          <w:b/>
          <w:bCs/>
          <w:sz w:val="24"/>
          <w:szCs w:val="28"/>
        </w:rPr>
      </w:pPr>
      <w:r w:rsidRPr="002D3CAF">
        <w:rPr>
          <w:b/>
          <w:bCs/>
          <w:sz w:val="24"/>
          <w:szCs w:val="28"/>
        </w:rPr>
        <w:t>威胁情报检测与阻断系统</w:t>
      </w:r>
      <w:r w:rsidR="001425C6">
        <w:rPr>
          <w:rFonts w:hint="eastAsia"/>
          <w:b/>
          <w:bCs/>
          <w:sz w:val="24"/>
          <w:szCs w:val="28"/>
        </w:rPr>
        <w:t>技术参数</w:t>
      </w:r>
    </w:p>
    <w:p w14:paraId="4CF57D36" w14:textId="77777777" w:rsidR="005F2413" w:rsidRPr="0070335A" w:rsidRDefault="005F2413">
      <w:pPr>
        <w:rPr>
          <w:b/>
          <w:bCs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96"/>
        <w:gridCol w:w="8013"/>
      </w:tblGrid>
      <w:tr w:rsidR="00D73180" w14:paraId="6463640D" w14:textId="77777777" w:rsidTr="00D73180">
        <w:tc>
          <w:tcPr>
            <w:tcW w:w="1196" w:type="dxa"/>
            <w:vAlign w:val="center"/>
          </w:tcPr>
          <w:p w14:paraId="32752F1E" w14:textId="2DDA0BC5" w:rsidR="00D73180" w:rsidRPr="004204D3" w:rsidRDefault="00D73180" w:rsidP="004204D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指标项</w:t>
            </w:r>
          </w:p>
        </w:tc>
        <w:tc>
          <w:tcPr>
            <w:tcW w:w="8013" w:type="dxa"/>
            <w:vAlign w:val="center"/>
          </w:tcPr>
          <w:p w14:paraId="549D4FCA" w14:textId="4308E2FA" w:rsidR="00D73180" w:rsidRPr="004204D3" w:rsidRDefault="00D73180" w:rsidP="004204D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参数要求</w:t>
            </w:r>
          </w:p>
        </w:tc>
      </w:tr>
      <w:tr w:rsidR="00D73180" w14:paraId="16B1242B" w14:textId="77777777" w:rsidTr="00D73180">
        <w:tc>
          <w:tcPr>
            <w:tcW w:w="1196" w:type="dxa"/>
            <w:vAlign w:val="center"/>
          </w:tcPr>
          <w:p w14:paraId="540222A9" w14:textId="26773F56" w:rsidR="00D73180" w:rsidRPr="004204D3" w:rsidRDefault="00D73180" w:rsidP="004204D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硬件要求</w:t>
            </w:r>
          </w:p>
        </w:tc>
        <w:tc>
          <w:tcPr>
            <w:tcW w:w="8013" w:type="dxa"/>
            <w:vAlign w:val="center"/>
          </w:tcPr>
          <w:p w14:paraId="7C31AF03" w14:textId="56076D78" w:rsidR="00D73180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标准</w:t>
            </w:r>
            <w:r w:rsidR="008C76D4">
              <w:rPr>
                <w:rFonts w:ascii="微软雅黑" w:eastAsia="微软雅黑" w:hAnsi="微软雅黑" w:hint="eastAsia"/>
                <w:sz w:val="20"/>
                <w:szCs w:val="20"/>
              </w:rPr>
              <w:t>1U或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2U机架式设备，内存≥32G；硬盘≥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T；配置4</w:t>
            </w:r>
            <w:r w:rsidRPr="004D165B">
              <w:rPr>
                <w:rFonts w:ascii="微软雅黑" w:eastAsia="微软雅黑" w:hAnsi="微软雅黑" w:hint="eastAsia"/>
                <w:sz w:val="20"/>
                <w:szCs w:val="20"/>
              </w:rPr>
              <w:t>个</w:t>
            </w:r>
            <w:proofErr w:type="gramStart"/>
            <w:r w:rsidRPr="004D165B">
              <w:rPr>
                <w:rFonts w:ascii="微软雅黑" w:eastAsia="微软雅黑" w:hAnsi="微软雅黑" w:hint="eastAsia"/>
                <w:sz w:val="20"/>
                <w:szCs w:val="20"/>
              </w:rPr>
              <w:t>千兆电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口</w:t>
            </w:r>
            <w:proofErr w:type="gramEnd"/>
            <w:r w:rsidRPr="004D165B">
              <w:rPr>
                <w:rFonts w:ascii="微软雅黑" w:eastAsia="微软雅黑" w:hAnsi="微软雅黑" w:hint="eastAsia"/>
                <w:sz w:val="20"/>
                <w:szCs w:val="20"/>
              </w:rPr>
              <w:t>、4个万兆光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口；配置bypass功能；配置冗余电源</w:t>
            </w:r>
            <w:r w:rsidR="007774CE">
              <w:rPr>
                <w:rFonts w:ascii="微软雅黑" w:eastAsia="微软雅黑" w:hAnsi="微软雅黑" w:hint="eastAsia"/>
                <w:sz w:val="20"/>
                <w:szCs w:val="20"/>
              </w:rPr>
              <w:t>；</w:t>
            </w:r>
          </w:p>
          <w:p w14:paraId="672DD40D" w14:textId="75FF7ED7" w:rsidR="0067642C" w:rsidRDefault="0067642C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服务期内包含硬件免费维保、换新服务</w:t>
            </w:r>
            <w:r w:rsidR="007774CE">
              <w:rPr>
                <w:rFonts w:ascii="微软雅黑" w:eastAsia="微软雅黑" w:hAnsi="微软雅黑" w:hint="eastAsia"/>
                <w:sz w:val="20"/>
                <w:szCs w:val="20"/>
              </w:rPr>
              <w:t>；</w:t>
            </w:r>
          </w:p>
          <w:p w14:paraId="70F8825C" w14:textId="112FC31B" w:rsidR="005233FC" w:rsidRPr="004204D3" w:rsidRDefault="00625BF2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可单机实现全部</w:t>
            </w:r>
            <w:r w:rsidR="0019480D">
              <w:rPr>
                <w:rFonts w:ascii="微软雅黑" w:eastAsia="微软雅黑" w:hAnsi="微软雅黑" w:hint="eastAsia"/>
                <w:sz w:val="20"/>
                <w:szCs w:val="20"/>
              </w:rPr>
              <w:t>功能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，无需其他设备配合</w:t>
            </w:r>
          </w:p>
        </w:tc>
      </w:tr>
      <w:tr w:rsidR="0019480D" w14:paraId="7A810A6E" w14:textId="77777777" w:rsidTr="00D73180">
        <w:tc>
          <w:tcPr>
            <w:tcW w:w="1196" w:type="dxa"/>
            <w:vAlign w:val="center"/>
          </w:tcPr>
          <w:p w14:paraId="24C54277" w14:textId="613C612B" w:rsidR="0019480D" w:rsidRPr="004204D3" w:rsidRDefault="0019480D" w:rsidP="0019480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性能要求</w:t>
            </w:r>
          </w:p>
        </w:tc>
        <w:tc>
          <w:tcPr>
            <w:tcW w:w="8013" w:type="dxa"/>
            <w:vAlign w:val="center"/>
          </w:tcPr>
          <w:p w14:paraId="3E939597" w14:textId="5D8F67C4" w:rsidR="0019480D" w:rsidRPr="004204D3" w:rsidRDefault="0019480D" w:rsidP="0019480D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设备吞吐量≥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Gbps，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支持带宽≥2Gbps，网络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并发连接数≥500W，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网络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新建连接数≥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0000；</w:t>
            </w:r>
          </w:p>
        </w:tc>
      </w:tr>
      <w:tr w:rsidR="0067642C" w14:paraId="0070297E" w14:textId="77777777" w:rsidTr="00D73180">
        <w:tc>
          <w:tcPr>
            <w:tcW w:w="1196" w:type="dxa"/>
            <w:vAlign w:val="center"/>
          </w:tcPr>
          <w:p w14:paraId="4DFC2DE7" w14:textId="740AF933" w:rsidR="0067642C" w:rsidRDefault="00A45FA2" w:rsidP="004204D3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软件服务</w:t>
            </w:r>
          </w:p>
        </w:tc>
        <w:tc>
          <w:tcPr>
            <w:tcW w:w="8013" w:type="dxa"/>
            <w:vAlign w:val="center"/>
          </w:tcPr>
          <w:p w14:paraId="3642932A" w14:textId="3CF8C4BE" w:rsidR="0067642C" w:rsidRDefault="0067642C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主要情报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库至少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每日更新一次，服务期</w:t>
            </w:r>
            <w:r w:rsidR="00595498">
              <w:rPr>
                <w:rFonts w:ascii="微软雅黑" w:eastAsia="微软雅黑" w:hAnsi="微软雅黑" w:hint="eastAsia"/>
                <w:sz w:val="20"/>
                <w:szCs w:val="20"/>
              </w:rPr>
              <w:t>五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年</w:t>
            </w:r>
            <w:r w:rsidR="00A13941">
              <w:rPr>
                <w:rFonts w:ascii="微软雅黑" w:eastAsia="微软雅黑" w:hAnsi="微软雅黑" w:hint="eastAsia"/>
                <w:sz w:val="20"/>
                <w:szCs w:val="20"/>
              </w:rPr>
              <w:t>;</w:t>
            </w:r>
          </w:p>
          <w:p w14:paraId="6846A136" w14:textId="77777777" w:rsidR="00A13941" w:rsidRDefault="00A13941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具有与设备情报相匹配的情报社区，可供用户查询威胁详情</w:t>
            </w:r>
            <w:r w:rsidR="00BA4820">
              <w:rPr>
                <w:rFonts w:ascii="微软雅黑" w:eastAsia="微软雅黑" w:hAnsi="微软雅黑" w:hint="eastAsia"/>
                <w:sz w:val="20"/>
                <w:szCs w:val="20"/>
              </w:rPr>
              <w:t>;</w:t>
            </w:r>
          </w:p>
          <w:p w14:paraId="3FAB590D" w14:textId="77777777" w:rsidR="00BA4820" w:rsidRDefault="008D6E78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包含设备全部授权</w:t>
            </w:r>
            <w:r w:rsidR="00891912">
              <w:rPr>
                <w:rFonts w:ascii="微软雅黑" w:eastAsia="微软雅黑" w:hAnsi="微软雅黑" w:hint="eastAsia"/>
                <w:sz w:val="20"/>
                <w:szCs w:val="20"/>
              </w:rPr>
              <w:t>及功能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，设备中不存在其他需额外购买授权</w:t>
            </w:r>
            <w:r w:rsidR="00C541E9">
              <w:rPr>
                <w:rFonts w:ascii="微软雅黑" w:eastAsia="微软雅黑" w:hAnsi="微软雅黑" w:hint="eastAsia"/>
                <w:sz w:val="20"/>
                <w:szCs w:val="20"/>
              </w:rPr>
              <w:t>;</w:t>
            </w:r>
          </w:p>
          <w:p w14:paraId="5E79C464" w14:textId="2B842F80" w:rsidR="00C541E9" w:rsidRPr="004204D3" w:rsidRDefault="00C541E9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支持系统软件更新</w:t>
            </w:r>
          </w:p>
        </w:tc>
      </w:tr>
      <w:tr w:rsidR="00D73180" w14:paraId="3132873A" w14:textId="77777777" w:rsidTr="00D73180">
        <w:tc>
          <w:tcPr>
            <w:tcW w:w="1196" w:type="dxa"/>
            <w:vMerge w:val="restart"/>
            <w:vAlign w:val="center"/>
          </w:tcPr>
          <w:p w14:paraId="44CC3D5D" w14:textId="514DAF98" w:rsidR="00D73180" w:rsidRDefault="00D73180" w:rsidP="004204D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功能要求</w:t>
            </w:r>
          </w:p>
        </w:tc>
        <w:tc>
          <w:tcPr>
            <w:tcW w:w="8013" w:type="dxa"/>
            <w:vAlign w:val="center"/>
          </w:tcPr>
          <w:p w14:paraId="6A5AFE76" w14:textId="5C59B5FF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具备高级威胁攻击检测、零日漏洞攻击防护、扫描防护、勒索、钓鱼、威胁情报检测能力，实现</w:t>
            </w:r>
            <w:r w:rsidRPr="0048324D">
              <w:rPr>
                <w:rFonts w:ascii="微软雅黑" w:eastAsia="微软雅黑" w:hAnsi="微软雅黑" w:hint="eastAsia"/>
                <w:sz w:val="20"/>
                <w:szCs w:val="20"/>
              </w:rPr>
              <w:t>威胁情报检测与阻断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通报治理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能力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48C17F87" w14:textId="77777777" w:rsidTr="00D73180">
        <w:tc>
          <w:tcPr>
            <w:tcW w:w="1196" w:type="dxa"/>
            <w:vMerge/>
            <w:vAlign w:val="center"/>
          </w:tcPr>
          <w:p w14:paraId="21DEA6E7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75B5B472" w14:textId="596FFE00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具备灵活的部署模式，支持旁路部署、串接部署</w:t>
            </w:r>
            <w:r w:rsidR="00E87FF9">
              <w:rPr>
                <w:rFonts w:ascii="微软雅黑" w:eastAsia="微软雅黑" w:hAnsi="微软雅黑" w:hint="eastAsia"/>
                <w:sz w:val="20"/>
                <w:szCs w:val="20"/>
              </w:rPr>
              <w:t>、虚拟线部署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支持部署引导，用户可直接根据引导进行配置，快速完成部署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476144B3" w14:textId="77777777" w:rsidTr="00D73180">
        <w:tc>
          <w:tcPr>
            <w:tcW w:w="1196" w:type="dxa"/>
            <w:vMerge/>
            <w:vAlign w:val="center"/>
          </w:tcPr>
          <w:p w14:paraId="5DE6AB09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753C5660" w14:textId="506A3659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支持对多种类型的网络入侵行为进行防护，包括侦查、漏洞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攻击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、病毒攻击、建立通信隧道、网站后门&amp;shell、</w:t>
            </w:r>
            <w:proofErr w:type="gramStart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连接远控地址</w:t>
            </w:r>
            <w:proofErr w:type="gramEnd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、木马远控、</w:t>
            </w:r>
            <w:proofErr w:type="gramStart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远控流量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工具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、挖矿、僵尸网络行为、蠕虫攻击、勒索、数据窃取、尝试下载恶意文件、钓鱼、对外攻击、攻击持久化操作。</w:t>
            </w:r>
          </w:p>
        </w:tc>
      </w:tr>
      <w:tr w:rsidR="00D73180" w14:paraId="0137E82D" w14:textId="77777777" w:rsidTr="00D73180">
        <w:tc>
          <w:tcPr>
            <w:tcW w:w="1196" w:type="dxa"/>
            <w:vMerge/>
            <w:vAlign w:val="center"/>
          </w:tcPr>
          <w:p w14:paraId="4B4BFDE5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3D5814B5" w14:textId="7748BDB3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支持应对外部攻击IP高频扫描的扫描防护功能，可自定义设置IP在特定时间内扫描次数超过某个阈值后判定为扫描IP，自动支持IP封禁动作，并支持自定义封禁时间。</w:t>
            </w:r>
          </w:p>
        </w:tc>
      </w:tr>
      <w:tr w:rsidR="00D73180" w14:paraId="5C87B499" w14:textId="77777777" w:rsidTr="00D73180">
        <w:tc>
          <w:tcPr>
            <w:tcW w:w="1196" w:type="dxa"/>
            <w:vMerge/>
            <w:vAlign w:val="center"/>
          </w:tcPr>
          <w:p w14:paraId="6A5D6D84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1D3F528C" w14:textId="3CA2672D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支持高危零日漏洞攻击的检测和防护能力，支持零日漏洞防护数量不少于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200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个，具备零日漏洞防护专项，单独展示检测和防御效果。</w:t>
            </w:r>
          </w:p>
        </w:tc>
      </w:tr>
      <w:tr w:rsidR="00D73180" w14:paraId="7FF0479B" w14:textId="77777777" w:rsidTr="00D73180">
        <w:tc>
          <w:tcPr>
            <w:tcW w:w="1196" w:type="dxa"/>
            <w:vMerge/>
            <w:vAlign w:val="center"/>
          </w:tcPr>
          <w:p w14:paraId="39D71EEC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0CCA2645" w14:textId="4E9A36CD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支持针对勒索攻击的网络威胁进行专项防护，对勒索</w:t>
            </w:r>
            <w:proofErr w:type="gramStart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病毒挂马的</w:t>
            </w:r>
            <w:proofErr w:type="gramEnd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各类主机</w:t>
            </w:r>
            <w:proofErr w:type="gramStart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反连行为</w:t>
            </w:r>
            <w:proofErr w:type="gramEnd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进行实时检测和自动化防护，具备勒索攻击防护场景下的安全策略设置、检测防护效果专项页面。</w:t>
            </w:r>
          </w:p>
        </w:tc>
      </w:tr>
      <w:tr w:rsidR="00D73180" w14:paraId="6A4BC9AD" w14:textId="77777777" w:rsidTr="00D73180">
        <w:tc>
          <w:tcPr>
            <w:tcW w:w="1196" w:type="dxa"/>
            <w:vMerge/>
            <w:vAlign w:val="center"/>
          </w:tcPr>
          <w:p w14:paraId="564BDBB8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3738F53D" w14:textId="5D3966F0" w:rsidR="00D73180" w:rsidRPr="005641EA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支持针对钓鱼攻击的网络威胁进行专项防护，对通过各类钓鱼链接发起的主机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反连行为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进行实时检测和自动化防护，具备钓鱼攻击防护场景下的安全策略设置、检测防护效果专项页面。</w:t>
            </w:r>
          </w:p>
        </w:tc>
      </w:tr>
      <w:tr w:rsidR="00D73180" w14:paraId="49C1B728" w14:textId="77777777" w:rsidTr="00D73180">
        <w:tc>
          <w:tcPr>
            <w:tcW w:w="1196" w:type="dxa"/>
            <w:vMerge/>
            <w:vAlign w:val="center"/>
          </w:tcPr>
          <w:p w14:paraId="77C83224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56389845" w14:textId="3D5CF999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支持针对APT攻击的网络威胁进行专项防护，支持对APT组织攻击行为的检测和拦截，具备APT攻击防护场景的安全策略设置、检测防护效果专项页面。</w:t>
            </w:r>
          </w:p>
        </w:tc>
      </w:tr>
      <w:tr w:rsidR="00D73180" w14:paraId="4E01EB62" w14:textId="77777777" w:rsidTr="00D73180">
        <w:tc>
          <w:tcPr>
            <w:tcW w:w="1196" w:type="dxa"/>
            <w:vMerge/>
            <w:vAlign w:val="center"/>
          </w:tcPr>
          <w:p w14:paraId="2F0F81B2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00EF50DA" w14:textId="32E02AAA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失陷</w:t>
            </w:r>
            <w:proofErr w:type="gramStart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类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威胁</w:t>
            </w:r>
            <w:proofErr w:type="gramEnd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情报数量不低于2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0</w:t>
            </w:r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0W，且能够保持</w:t>
            </w:r>
            <w:proofErr w:type="gramStart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分钟级</w:t>
            </w:r>
            <w:proofErr w:type="gramEnd"/>
            <w:r w:rsidRPr="004204D3">
              <w:rPr>
                <w:rFonts w:ascii="微软雅黑" w:eastAsia="微软雅黑" w:hAnsi="微软雅黑" w:hint="eastAsia"/>
                <w:sz w:val="20"/>
                <w:szCs w:val="20"/>
              </w:rPr>
              <w:t>频率更新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10133814" w14:textId="77777777" w:rsidTr="00D73180">
        <w:tc>
          <w:tcPr>
            <w:tcW w:w="1196" w:type="dxa"/>
            <w:vMerge/>
            <w:vAlign w:val="center"/>
          </w:tcPr>
          <w:p w14:paraId="06CAE89D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314A82F6" w14:textId="4E041059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C1059A">
              <w:rPr>
                <w:rFonts w:ascii="微软雅黑" w:eastAsia="微软雅黑" w:hAnsi="微软雅黑" w:hint="eastAsia"/>
                <w:sz w:val="20"/>
                <w:szCs w:val="20"/>
              </w:rPr>
              <w:t>支持通过Syslog日志对接的方式联动三方设备，设备能够接收三方设备提供的Syslog日志并进行自动解析，从而进行设备黑名单封禁操作，实现威胁自动化联动封禁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7D05A17D" w14:textId="77777777" w:rsidTr="00D73180">
        <w:tc>
          <w:tcPr>
            <w:tcW w:w="1196" w:type="dxa"/>
            <w:vMerge/>
            <w:vAlign w:val="center"/>
          </w:tcPr>
          <w:p w14:paraId="1AAFB7F8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62315CB0" w14:textId="4C3DE9F5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支持灵活黑名单配置。</w:t>
            </w:r>
            <w:r w:rsidRPr="00C1059A">
              <w:rPr>
                <w:rFonts w:ascii="微软雅黑" w:eastAsia="微软雅黑" w:hAnsi="微软雅黑" w:hint="eastAsia"/>
                <w:sz w:val="20"/>
                <w:szCs w:val="20"/>
              </w:rPr>
              <w:t>支持通过Http Header字段中URL、</w:t>
            </w:r>
            <w:proofErr w:type="spellStart"/>
            <w:r w:rsidRPr="00C1059A">
              <w:rPr>
                <w:rFonts w:ascii="微软雅黑" w:eastAsia="微软雅黑" w:hAnsi="微软雅黑" w:hint="eastAsia"/>
                <w:sz w:val="20"/>
                <w:szCs w:val="20"/>
              </w:rPr>
              <w:t>Referer</w:t>
            </w:r>
            <w:proofErr w:type="spellEnd"/>
            <w:r w:rsidRPr="00C1059A">
              <w:rPr>
                <w:rFonts w:ascii="微软雅黑" w:eastAsia="微软雅黑" w:hAnsi="微软雅黑" w:hint="eastAsia"/>
                <w:sz w:val="20"/>
                <w:szCs w:val="20"/>
              </w:rPr>
              <w:t>、User-Agent、Cookie、Http请求方法等字段或自定义Http Header字段进行出入站黑名单配置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，</w:t>
            </w:r>
            <w:r w:rsidRPr="00C1059A">
              <w:rPr>
                <w:rFonts w:ascii="微软雅黑" w:eastAsia="微软雅黑" w:hAnsi="微软雅黑" w:hint="eastAsia"/>
                <w:sz w:val="20"/>
                <w:szCs w:val="20"/>
              </w:rPr>
              <w:t>支持IPV6黑名单封禁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27327518" w14:textId="77777777" w:rsidTr="00D73180">
        <w:tc>
          <w:tcPr>
            <w:tcW w:w="1196" w:type="dxa"/>
            <w:vMerge/>
            <w:vAlign w:val="center"/>
          </w:tcPr>
          <w:p w14:paraId="163100E4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70FBF65A" w14:textId="088A7976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221013">
              <w:rPr>
                <w:rFonts w:ascii="微软雅黑" w:eastAsia="微软雅黑" w:hAnsi="微软雅黑" w:hint="eastAsia"/>
                <w:sz w:val="20"/>
                <w:szCs w:val="20"/>
              </w:rPr>
              <w:t>支持在国家级攻防演练场景下，自动</w:t>
            </w:r>
            <w:proofErr w:type="gramStart"/>
            <w:r w:rsidRPr="00221013">
              <w:rPr>
                <w:rFonts w:ascii="微软雅黑" w:eastAsia="微软雅黑" w:hAnsi="微软雅黑" w:hint="eastAsia"/>
                <w:sz w:val="20"/>
                <w:szCs w:val="20"/>
              </w:rPr>
              <w:t>获取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重保攻击</w:t>
            </w:r>
            <w:proofErr w:type="gramEnd"/>
            <w:r w:rsidRPr="00221013">
              <w:rPr>
                <w:rFonts w:ascii="微软雅黑" w:eastAsia="微软雅黑" w:hAnsi="微软雅黑" w:hint="eastAsia"/>
                <w:sz w:val="20"/>
                <w:szCs w:val="20"/>
              </w:rPr>
              <w:t>情报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更新</w:t>
            </w:r>
            <w:r w:rsidRPr="00221013">
              <w:rPr>
                <w:rFonts w:ascii="微软雅黑" w:eastAsia="微软雅黑" w:hAnsi="微软雅黑" w:hint="eastAsia"/>
                <w:sz w:val="20"/>
                <w:szCs w:val="20"/>
              </w:rPr>
              <w:t>，检测</w:t>
            </w:r>
            <w:proofErr w:type="gramStart"/>
            <w:r w:rsidRPr="00221013">
              <w:rPr>
                <w:rFonts w:ascii="微软雅黑" w:eastAsia="微软雅黑" w:hAnsi="微软雅黑" w:hint="eastAsia"/>
                <w:sz w:val="20"/>
                <w:szCs w:val="20"/>
              </w:rPr>
              <w:t>且主动</w:t>
            </w:r>
            <w:proofErr w:type="gramEnd"/>
            <w:r w:rsidRPr="00221013">
              <w:rPr>
                <w:rFonts w:ascii="微软雅黑" w:eastAsia="微软雅黑" w:hAnsi="微软雅黑" w:hint="eastAsia"/>
                <w:sz w:val="20"/>
                <w:szCs w:val="20"/>
              </w:rPr>
              <w:t>拦截攻击行为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4C9D424B" w14:textId="77777777" w:rsidTr="00D73180">
        <w:tc>
          <w:tcPr>
            <w:tcW w:w="1196" w:type="dxa"/>
            <w:vMerge/>
            <w:vAlign w:val="center"/>
          </w:tcPr>
          <w:p w14:paraId="5B36E6D0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64419306" w14:textId="70802934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A114F9">
              <w:rPr>
                <w:rFonts w:ascii="微软雅黑" w:eastAsia="微软雅黑" w:hAnsi="微软雅黑" w:hint="eastAsia"/>
                <w:sz w:val="20"/>
                <w:szCs w:val="20"/>
              </w:rPr>
              <w:t>提供资产管理能力，支持对资产分组进行管理，支持自定义资产类型，支持手动录入资产或文件批量录入资产，支持资产信息一键导出功能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300D5777" w14:textId="77777777" w:rsidTr="00D73180">
        <w:tc>
          <w:tcPr>
            <w:tcW w:w="1196" w:type="dxa"/>
            <w:vMerge/>
            <w:vAlign w:val="center"/>
          </w:tcPr>
          <w:p w14:paraId="7F195C87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0AFFAD3E" w14:textId="497304EC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132707">
              <w:rPr>
                <w:rFonts w:ascii="微软雅黑" w:eastAsia="微软雅黑" w:hAnsi="微软雅黑" w:hint="eastAsia"/>
                <w:sz w:val="20"/>
                <w:szCs w:val="20"/>
              </w:rPr>
              <w:t>支持通过API接口调用的方式进行防护策略配置，支持通过API接口实现黑白名单的增、</w:t>
            </w:r>
            <w:proofErr w:type="gramStart"/>
            <w:r w:rsidRPr="00132707">
              <w:rPr>
                <w:rFonts w:ascii="微软雅黑" w:eastAsia="微软雅黑" w:hAnsi="微软雅黑" w:hint="eastAsia"/>
                <w:sz w:val="20"/>
                <w:szCs w:val="20"/>
              </w:rPr>
              <w:t>删</w:t>
            </w:r>
            <w:proofErr w:type="gramEnd"/>
            <w:r w:rsidRPr="00132707">
              <w:rPr>
                <w:rFonts w:ascii="微软雅黑" w:eastAsia="微软雅黑" w:hAnsi="微软雅黑" w:hint="eastAsia"/>
                <w:sz w:val="20"/>
                <w:szCs w:val="20"/>
              </w:rPr>
              <w:t>、改、查功能，支持通过API接口进行资产及资产组的增加、删除、查询功能，支持通过API接口进行设备运行状态查询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4E8E8278" w14:textId="77777777" w:rsidTr="00D73180">
        <w:tc>
          <w:tcPr>
            <w:tcW w:w="1196" w:type="dxa"/>
            <w:vMerge/>
            <w:vAlign w:val="center"/>
          </w:tcPr>
          <w:p w14:paraId="4D4ADCBC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4C030072" w14:textId="13E54E51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65002F">
              <w:rPr>
                <w:rFonts w:ascii="微软雅黑" w:eastAsia="微软雅黑" w:hAnsi="微软雅黑" w:hint="eastAsia"/>
                <w:sz w:val="20"/>
                <w:szCs w:val="20"/>
              </w:rPr>
              <w:t>支持通过DNS日志转发工具实现和DNS日志的对接，支持设备告警屏蔽关联DNS服务器的告警并展示真实的失陷主机告警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</w:p>
        </w:tc>
      </w:tr>
      <w:tr w:rsidR="00D73180" w14:paraId="1C5E4247" w14:textId="77777777" w:rsidTr="00D73180">
        <w:tc>
          <w:tcPr>
            <w:tcW w:w="1196" w:type="dxa"/>
            <w:vMerge/>
            <w:vAlign w:val="center"/>
          </w:tcPr>
          <w:p w14:paraId="01837B3E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2C1BBB76" w14:textId="068CF084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支持外部攻击事件聚合展示，可实时查看外部攻击检测及拦截/放行情况，支持通过攻击IP、威胁事件、受害主机进行攻击事件模糊搜索，支持通过受害资产、威胁类型、检出和拦截次数进行攻击事件精确搜索。</w:t>
            </w:r>
          </w:p>
        </w:tc>
      </w:tr>
      <w:tr w:rsidR="00D73180" w14:paraId="626AC51F" w14:textId="77777777" w:rsidTr="00D73180">
        <w:tc>
          <w:tcPr>
            <w:tcW w:w="1196" w:type="dxa"/>
            <w:vMerge/>
            <w:vAlign w:val="center"/>
          </w:tcPr>
          <w:p w14:paraId="5A86C618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7F6A6F04" w14:textId="152F9537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支持恶意外联事件聚合展示，可实时查看恶意外联检测及拦截/放行情况，支持失陷主机、威胁事件、外联目的地址进行攻击事件模糊搜索，支持通过资产组、威胁类型、检出和拦截次数进行恶意外联事件的精确搜索。</w:t>
            </w:r>
          </w:p>
        </w:tc>
      </w:tr>
      <w:tr w:rsidR="00D73180" w14:paraId="38D780F0" w14:textId="77777777" w:rsidTr="00D73180">
        <w:tc>
          <w:tcPr>
            <w:tcW w:w="1196" w:type="dxa"/>
            <w:vMerge/>
            <w:vAlign w:val="center"/>
          </w:tcPr>
          <w:p w14:paraId="7B3B5B63" w14:textId="77777777" w:rsidR="00D73180" w:rsidRDefault="00D73180" w:rsidP="0082221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013" w:type="dxa"/>
            <w:vAlign w:val="center"/>
          </w:tcPr>
          <w:p w14:paraId="2F2DDB47" w14:textId="2FEFF520" w:rsidR="00D73180" w:rsidRPr="004204D3" w:rsidRDefault="00D73180" w:rsidP="00D82AB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 w:rsidRPr="008C6440">
              <w:rPr>
                <w:rFonts w:ascii="微软雅黑" w:eastAsia="微软雅黑" w:hAnsi="微软雅黑" w:hint="eastAsia"/>
                <w:sz w:val="20"/>
                <w:szCs w:val="20"/>
              </w:rPr>
              <w:t>支持绑定资产组进行威胁防护策略配置，支持按照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流量</w:t>
            </w:r>
            <w:r w:rsidRPr="008C6440">
              <w:rPr>
                <w:rFonts w:ascii="微软雅黑" w:eastAsia="微软雅黑" w:hAnsi="微软雅黑" w:hint="eastAsia"/>
                <w:sz w:val="20"/>
                <w:szCs w:val="20"/>
              </w:rPr>
              <w:t>方向、威胁严重级别、威胁类型等维度进行自定义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开启或关闭拦截策略。</w:t>
            </w:r>
          </w:p>
        </w:tc>
      </w:tr>
    </w:tbl>
    <w:p w14:paraId="0071AE1B" w14:textId="69C0B5CC" w:rsidR="00957486" w:rsidRPr="00EC1512" w:rsidRDefault="00957486">
      <w:pPr>
        <w:rPr>
          <w:rFonts w:hint="eastAsia"/>
          <w:b/>
          <w:bCs/>
        </w:rPr>
      </w:pPr>
    </w:p>
    <w:sectPr w:rsidR="00957486" w:rsidRPr="00EC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14DB" w14:textId="77777777" w:rsidR="00232671" w:rsidRDefault="00232671" w:rsidP="007D7A51">
      <w:r>
        <w:separator/>
      </w:r>
    </w:p>
  </w:endnote>
  <w:endnote w:type="continuationSeparator" w:id="0">
    <w:p w14:paraId="5178D096" w14:textId="77777777" w:rsidR="00232671" w:rsidRDefault="00232671" w:rsidP="007D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7E12" w14:textId="77777777" w:rsidR="00232671" w:rsidRDefault="00232671" w:rsidP="007D7A51">
      <w:r>
        <w:separator/>
      </w:r>
    </w:p>
  </w:footnote>
  <w:footnote w:type="continuationSeparator" w:id="0">
    <w:p w14:paraId="49A4A071" w14:textId="77777777" w:rsidR="00232671" w:rsidRDefault="00232671" w:rsidP="007D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4409"/>
    <w:multiLevelType w:val="hybridMultilevel"/>
    <w:tmpl w:val="316EB67C"/>
    <w:lvl w:ilvl="0" w:tplc="AAD4F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7486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39"/>
    <w:rsid w:val="00020EF4"/>
    <w:rsid w:val="000542B2"/>
    <w:rsid w:val="00095F27"/>
    <w:rsid w:val="001031D5"/>
    <w:rsid w:val="00132707"/>
    <w:rsid w:val="001425C6"/>
    <w:rsid w:val="00170C82"/>
    <w:rsid w:val="00174384"/>
    <w:rsid w:val="0019480D"/>
    <w:rsid w:val="00194A08"/>
    <w:rsid w:val="001B2E09"/>
    <w:rsid w:val="001F2338"/>
    <w:rsid w:val="00217B9C"/>
    <w:rsid w:val="00221013"/>
    <w:rsid w:val="00232671"/>
    <w:rsid w:val="002409D6"/>
    <w:rsid w:val="002D3CAF"/>
    <w:rsid w:val="00311304"/>
    <w:rsid w:val="003171ED"/>
    <w:rsid w:val="00340FFA"/>
    <w:rsid w:val="00345426"/>
    <w:rsid w:val="003726A5"/>
    <w:rsid w:val="00385794"/>
    <w:rsid w:val="00395EB1"/>
    <w:rsid w:val="003A0169"/>
    <w:rsid w:val="00411D31"/>
    <w:rsid w:val="004204D3"/>
    <w:rsid w:val="0047371C"/>
    <w:rsid w:val="0048324D"/>
    <w:rsid w:val="004B2090"/>
    <w:rsid w:val="004C01C6"/>
    <w:rsid w:val="004C317D"/>
    <w:rsid w:val="004D165B"/>
    <w:rsid w:val="004E478A"/>
    <w:rsid w:val="004F2214"/>
    <w:rsid w:val="005029BC"/>
    <w:rsid w:val="005233FC"/>
    <w:rsid w:val="005641EA"/>
    <w:rsid w:val="00591E7C"/>
    <w:rsid w:val="00595498"/>
    <w:rsid w:val="00596138"/>
    <w:rsid w:val="00597957"/>
    <w:rsid w:val="005C5387"/>
    <w:rsid w:val="005F2413"/>
    <w:rsid w:val="00625BF2"/>
    <w:rsid w:val="00633373"/>
    <w:rsid w:val="0065002F"/>
    <w:rsid w:val="00657A18"/>
    <w:rsid w:val="0067642C"/>
    <w:rsid w:val="006D4C35"/>
    <w:rsid w:val="006D7A94"/>
    <w:rsid w:val="0070138E"/>
    <w:rsid w:val="0070335A"/>
    <w:rsid w:val="00722A8D"/>
    <w:rsid w:val="007278D7"/>
    <w:rsid w:val="00730005"/>
    <w:rsid w:val="007774CE"/>
    <w:rsid w:val="007956D7"/>
    <w:rsid w:val="007D7A51"/>
    <w:rsid w:val="007F34D9"/>
    <w:rsid w:val="007F64B7"/>
    <w:rsid w:val="00813592"/>
    <w:rsid w:val="00822216"/>
    <w:rsid w:val="008370E0"/>
    <w:rsid w:val="00847838"/>
    <w:rsid w:val="00854BCC"/>
    <w:rsid w:val="00857D10"/>
    <w:rsid w:val="008643A3"/>
    <w:rsid w:val="00891912"/>
    <w:rsid w:val="008C6440"/>
    <w:rsid w:val="008C76D4"/>
    <w:rsid w:val="008D6E78"/>
    <w:rsid w:val="00907FF2"/>
    <w:rsid w:val="009326CA"/>
    <w:rsid w:val="00937D40"/>
    <w:rsid w:val="0095701E"/>
    <w:rsid w:val="00957486"/>
    <w:rsid w:val="00996AAC"/>
    <w:rsid w:val="009B2864"/>
    <w:rsid w:val="00A114F9"/>
    <w:rsid w:val="00A13941"/>
    <w:rsid w:val="00A30D19"/>
    <w:rsid w:val="00A45FA2"/>
    <w:rsid w:val="00A63651"/>
    <w:rsid w:val="00A83A68"/>
    <w:rsid w:val="00AD3EB9"/>
    <w:rsid w:val="00B14683"/>
    <w:rsid w:val="00B8559E"/>
    <w:rsid w:val="00BA4820"/>
    <w:rsid w:val="00C02FD5"/>
    <w:rsid w:val="00C04F3F"/>
    <w:rsid w:val="00C1059A"/>
    <w:rsid w:val="00C30777"/>
    <w:rsid w:val="00C541E9"/>
    <w:rsid w:val="00D1708F"/>
    <w:rsid w:val="00D62940"/>
    <w:rsid w:val="00D671BC"/>
    <w:rsid w:val="00D73180"/>
    <w:rsid w:val="00D77BDD"/>
    <w:rsid w:val="00D82ABC"/>
    <w:rsid w:val="00DD46FD"/>
    <w:rsid w:val="00DD6232"/>
    <w:rsid w:val="00DF240A"/>
    <w:rsid w:val="00DF522C"/>
    <w:rsid w:val="00E26EDA"/>
    <w:rsid w:val="00E33E3B"/>
    <w:rsid w:val="00E738F4"/>
    <w:rsid w:val="00E87FF9"/>
    <w:rsid w:val="00EC1512"/>
    <w:rsid w:val="00EC646D"/>
    <w:rsid w:val="00EE6237"/>
    <w:rsid w:val="00EF1B39"/>
    <w:rsid w:val="00F45852"/>
    <w:rsid w:val="00F86490"/>
    <w:rsid w:val="00F976BA"/>
    <w:rsid w:val="00FA1EC6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230A2"/>
  <w15:chartTrackingRefBased/>
  <w15:docId w15:val="{B5E7D244-0C8C-4168-8D5A-C7BE1676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A51"/>
    <w:rPr>
      <w:sz w:val="18"/>
      <w:szCs w:val="18"/>
    </w:rPr>
  </w:style>
  <w:style w:type="table" w:styleId="a7">
    <w:name w:val="Table Grid"/>
    <w:basedOn w:val="a1"/>
    <w:uiPriority w:val="39"/>
    <w:rsid w:val="007D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autoRedefine/>
    <w:uiPriority w:val="99"/>
    <w:qFormat/>
    <w:rsid w:val="007D7A51"/>
    <w:pPr>
      <w:widowControl/>
      <w:jc w:val="left"/>
    </w:pPr>
    <w:rPr>
      <w:rFonts w:ascii="Calibri" w:hAnsi="Calibri"/>
      <w14:ligatures w14:val="none"/>
    </w:rPr>
  </w:style>
  <w:style w:type="character" w:customStyle="1" w:styleId="a9">
    <w:name w:val="批注文字 字符"/>
    <w:basedOn w:val="a0"/>
    <w:link w:val="a8"/>
    <w:uiPriority w:val="99"/>
    <w:qFormat/>
    <w:rsid w:val="007D7A51"/>
    <w:rPr>
      <w:rFonts w:ascii="Calibri" w:hAnsi="Calibri"/>
      <w14:ligatures w14:val="none"/>
    </w:rPr>
  </w:style>
  <w:style w:type="character" w:styleId="aa">
    <w:name w:val="annotation reference"/>
    <w:uiPriority w:val="99"/>
    <w:semiHidden/>
    <w:unhideWhenUsed/>
    <w:qFormat/>
    <w:rsid w:val="001F2338"/>
    <w:rPr>
      <w:sz w:val="21"/>
      <w:szCs w:val="21"/>
    </w:rPr>
  </w:style>
  <w:style w:type="paragraph" w:styleId="ab">
    <w:name w:val="List Paragraph"/>
    <w:basedOn w:val="a"/>
    <w:uiPriority w:val="34"/>
    <w:qFormat/>
    <w:rsid w:val="00D671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Yuping Fu</dc:creator>
  <cp:keywords/>
  <dc:description/>
  <cp:lastModifiedBy>Arika Icey</cp:lastModifiedBy>
  <cp:revision>100</cp:revision>
  <dcterms:created xsi:type="dcterms:W3CDTF">2024-09-14T07:35:00Z</dcterms:created>
  <dcterms:modified xsi:type="dcterms:W3CDTF">2024-10-10T07:47:00Z</dcterms:modified>
</cp:coreProperties>
</file>