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page" w:tblpX="1562" w:tblpY="608"/>
        <w:tblOverlap w:val="never"/>
        <w:tblW w:w="9019" w:type="dxa"/>
        <w:tblInd w:w="0" w:type="dxa"/>
        <w:tblLook w:val="0000" w:firstRow="0" w:lastRow="0" w:firstColumn="0" w:lastColumn="0" w:noHBand="0" w:noVBand="0"/>
      </w:tblPr>
      <w:tblGrid>
        <w:gridCol w:w="732"/>
        <w:gridCol w:w="1119"/>
        <w:gridCol w:w="7168"/>
      </w:tblGrid>
      <w:tr w:rsidR="00E1506E" w:rsidTr="00F516AD">
        <w:trPr>
          <w:trHeight w:val="453"/>
        </w:trPr>
        <w:tc>
          <w:tcPr>
            <w:tcW w:w="732" w:type="dxa"/>
            <w:vAlign w:val="center"/>
          </w:tcPr>
          <w:p w:rsidR="00E1506E" w:rsidRDefault="00E1506E" w:rsidP="00F516A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9" w:type="dxa"/>
            <w:vAlign w:val="center"/>
          </w:tcPr>
          <w:p w:rsidR="00E1506E" w:rsidRDefault="00E1506E" w:rsidP="00F516A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服务</w:t>
            </w:r>
          </w:p>
          <w:p w:rsidR="00E1506E" w:rsidRDefault="00E1506E" w:rsidP="00F516A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7168" w:type="dxa"/>
            <w:vAlign w:val="center"/>
          </w:tcPr>
          <w:p w:rsidR="00E1506E" w:rsidRDefault="00E1506E" w:rsidP="00F516A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数字影像服务-具体内容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整体要求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本项目按照安徽省卫健委《关于印发安徽省数字医学影像服务质控标准（试行）的通知》皖卫规划秘〔2024〕30号文件要求建设。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响应时间：CT、MR等序列影像加载，界面的显示响应时间在3秒以内，无停顿、延时或中断等现象影响阅片诊断。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影像资料加载清晰度：显示设备满足诊断要求的情况下，影像数据为原始无损DICOM 格式。</w:t>
            </w:r>
          </w:p>
        </w:tc>
      </w:tr>
      <w:tr w:rsidR="00E1506E" w:rsidTr="00F516AD">
        <w:trPr>
          <w:trHeight w:val="924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医生端服务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▲历史检查提醒。通过独立插件调阅历史检查数据，医生登录HIS系统时插件自动唤醒；当患者就诊时，自动弹窗提醒医生该患者在其他已接入安徽省“智联网医院系统”医院的历史检查及显示患者历史检查例数；点击弹窗可显示患者检查记录列表；点击列表中的检查记录，可查看检查报告及原始DICOM图像，图像须在3秒内显示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检查结果互认。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当医生开检查单时，若该患者在其他已接入安徽省“智联网医院系统”医院已经做过相同的检查项目时，自动弹出重复检查记录列表，点击列表中的重复检查，可查看检查报告及原始DICOM图像，图像须在3秒内显示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医生可选择是否互认影像检查数据，对符合安徽省卫健委《关于印发安徽省医疗卫生机构检查检验结果互认工作方案的通知》（皖卫医秘〔2021〕259号）文件要求的影像检查数据进行互认，互认后显示“已互认”标签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患者提醒记录数据。可显示当前登录医生账号近期接诊过的患者的提醒检查数据。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影像浏览工具。影像浏览工具应兼容电脑端和移动端，工具包括但不限于放大缩小、窗宽窗位调整、动态播放、逐页浏览、测量、反像、多窗对照、历史对照显示、MPR、MIP、三维重建、CT值测量等功能。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编码对照。医院检查项目编码可与安徽省“智联网医院系统”检查检验共享监管子平台标准编码进行对照，并可自动拆分多部位联合检查项目为单个检查项目。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患者端服务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患者多途径获取影像检查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数据。包括但不限定以下方式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：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①短信推送：通过短信将数字影像服务链接发送到患者预留的手机号；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②扫描预约单二维码：扫描影像检查预约单二维码，检查报告完成后，微信后台自动将影像检查数据推送给患者。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▲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患者可通过“皖事通”、皖美健康服务平台等途径</w:t>
            </w:r>
            <w:r>
              <w:rPr>
                <w:rFonts w:ascii="宋体" w:hAnsi="宋体" w:cs="宋体" w:hint="eastAsia"/>
                <w:sz w:val="21"/>
                <w:szCs w:val="21"/>
                <w:lang w:val="zh-CN" w:bidi="ar"/>
              </w:rPr>
              <w:t>浏览个人影像检查信息。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安全验证。患者在浏览影像检查数据前，通过手机号或身份证号进行安全验证，完成安全验证后才可浏览数据。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影像检查数据分享下载。患者分享时，可设置数据查看时效、安全码；患者下载数据时，软件能够自动生成提取密码，并显示提取密码有效期及提示影像文件大小。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查看原始检查数据。患者查看影像数据时，可同一页面切换患者报告及影像，可显示JPG图像、DICOM原始图像。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▲</w:t>
            </w:r>
            <w:r>
              <w:rPr>
                <w:rFonts w:ascii="宋体" w:hAnsi="宋体" w:cs="宋体" w:hint="eastAsia"/>
                <w:sz w:val="21"/>
                <w:szCs w:val="21"/>
              </w:rPr>
              <w:t>智能</w:t>
            </w:r>
            <w:r>
              <w:rPr>
                <w:rFonts w:hAnsi="宋体" w:cs="宋体" w:hint="eastAsia"/>
                <w:sz w:val="21"/>
                <w:szCs w:val="21"/>
              </w:rPr>
              <w:t>报告</w:t>
            </w:r>
            <w:r>
              <w:rPr>
                <w:rFonts w:ascii="宋体" w:hAnsi="宋体" w:cs="宋体" w:hint="eastAsia"/>
                <w:sz w:val="21"/>
                <w:szCs w:val="21"/>
              </w:rPr>
              <w:t>解读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①患者在查看报告时点击智能解读模块，系统可对报告进行详细解读，自动识别报告关键/疑难词汇，将报告中难以理解的部分标记出来，患者可点击查看其详细解释。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sz w:val="21"/>
                <w:szCs w:val="21"/>
                <w:lang w:bidi="ar"/>
              </w:rPr>
              <w:t>②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患者可进行多轮对话交互，对症状、推荐就诊医院、饮食生活习惯等进行咨询，得到专业的回答和建议。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sz w:val="21"/>
                <w:szCs w:val="21"/>
                <w:lang w:bidi="ar"/>
              </w:rPr>
              <w:t>③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患者可将历史检查报告单拍照上传，系统进行智能报告解读。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  <w:t>4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质控服务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4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按照安徽省卫健委《关于印发安徽省数字医学影像服务质控标准（试行）的通知》皖卫规划秘〔2024〕30号文件要求执行。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4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▲</w:t>
            </w:r>
            <w:r>
              <w:rPr>
                <w:rFonts w:ascii="宋体" w:hAnsi="宋体" w:cs="宋体" w:hint="eastAsia"/>
                <w:sz w:val="21"/>
                <w:szCs w:val="21"/>
              </w:rPr>
              <w:t>为保障各医疗机构的医学影像检查结果符合《安徽省医学影像检查结果互认质量控制规范（2021）》要求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，提供影像质控服务，具备以下10个部位的图像智能质控能力（对影像检查图像的检查范围、摄片体位，图像伪影以及图像清晰度等维度，进行图像的自动评分），如：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①X线：胸片、腹部立位片、腰椎正侧位、膝关节正侧位等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②CT：颅脑平扫、胸部平扫、上腹部平扫等</w:t>
            </w:r>
          </w:p>
          <w:p w:rsidR="00E1506E" w:rsidRDefault="00E1506E" w:rsidP="00F516AD">
            <w:pPr>
              <w:widowControl/>
              <w:spacing w:line="360" w:lineRule="auto"/>
              <w:ind w:firstLineChars="104" w:firstLine="218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③MR：颅脑平扫、腰椎平扫、上腹部平扫等</w:t>
            </w:r>
          </w:p>
        </w:tc>
      </w:tr>
      <w:tr w:rsidR="00E1506E" w:rsidTr="00F516AD">
        <w:trPr>
          <w:trHeight w:val="256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影像数据存储服务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5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提供影像数据云存储服务。按照安徽省医保局《关于数字影像服务管理及试行价格的通知》（皖医保秘〔2021〕88号）文件要求提供数字影像存储服务，门诊患者影像数据存储15年，住院患者影像数据存储30年。</w:t>
            </w:r>
          </w:p>
        </w:tc>
      </w:tr>
      <w:tr w:rsidR="00E1506E" w:rsidTr="00F516AD">
        <w:trPr>
          <w:trHeight w:val="256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5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医疗机构之间网络互通须确保数据传输安全，云存储建设方式应采用“两地三中心”。</w:t>
            </w:r>
          </w:p>
        </w:tc>
      </w:tr>
      <w:tr w:rsidR="00E1506E" w:rsidTr="00F516AD">
        <w:trPr>
          <w:trHeight w:val="435"/>
        </w:trPr>
        <w:tc>
          <w:tcPr>
            <w:tcW w:w="732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119" w:type="dxa"/>
            <w:vMerge w:val="restart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数据安全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6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隐私保护。</w:t>
            </w:r>
            <w:r>
              <w:rPr>
                <w:rFonts w:ascii="宋体" w:hAnsi="宋体" w:cs="宋体" w:hint="eastAsia"/>
                <w:sz w:val="21"/>
                <w:szCs w:val="21"/>
              </w:rPr>
              <w:t>制定严密的隐私保护策略，与医院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签署保密协议。</w:t>
            </w:r>
          </w:p>
        </w:tc>
      </w:tr>
      <w:tr w:rsidR="00E1506E" w:rsidTr="00F516AD">
        <w:trPr>
          <w:trHeight w:val="435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6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数据传输。居民个人敏感信息应进行加密存储；非居民端服务影像检查信息应通过专线或政务外网进行数据传输，且传输过程应进行加密；居民端服务通过互联网提供，数据传输过程应进行加密。</w:t>
            </w:r>
          </w:p>
        </w:tc>
      </w:tr>
      <w:tr w:rsidR="00E1506E" w:rsidTr="00F516AD">
        <w:trPr>
          <w:trHeight w:val="435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6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数据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采取加密传输技术，具备严密的数据安全策略和多级权限管理体系。</w:t>
            </w:r>
          </w:p>
        </w:tc>
      </w:tr>
      <w:tr w:rsidR="00E1506E" w:rsidTr="00F516AD">
        <w:trPr>
          <w:trHeight w:val="435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6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数字影像服务系统及基础设施须符合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国家信息安全三级等保</w:t>
            </w:r>
            <w:r>
              <w:rPr>
                <w:rFonts w:ascii="宋体" w:hAnsi="宋体" w:cs="宋体" w:hint="eastAsia"/>
                <w:sz w:val="21"/>
                <w:szCs w:val="21"/>
              </w:rPr>
              <w:t>要求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，通过国家信息安全三级等保认证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E1506E" w:rsidTr="00F516AD">
        <w:trPr>
          <w:trHeight w:val="435"/>
        </w:trPr>
        <w:tc>
          <w:tcPr>
            <w:tcW w:w="732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9" w:type="dxa"/>
            <w:vMerge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widowControl/>
              <w:numPr>
                <w:ilvl w:val="0"/>
                <w:numId w:val="6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为保障影像数据传输的安全性和稳定性，提供网络专线服务，医院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通过专线接入“智联网医院系统”检查检验共享监管子平台。</w:t>
            </w:r>
          </w:p>
        </w:tc>
      </w:tr>
      <w:tr w:rsidR="00E1506E" w:rsidTr="00F516AD">
        <w:trPr>
          <w:trHeight w:val="453"/>
        </w:trPr>
        <w:tc>
          <w:tcPr>
            <w:tcW w:w="732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  <w:t>7</w:t>
            </w:r>
          </w:p>
        </w:tc>
        <w:tc>
          <w:tcPr>
            <w:tcW w:w="1119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接口对接服务</w:t>
            </w:r>
          </w:p>
        </w:tc>
        <w:tc>
          <w:tcPr>
            <w:tcW w:w="7168" w:type="dxa"/>
            <w:vAlign w:val="center"/>
          </w:tcPr>
          <w:p w:rsidR="00E1506E" w:rsidRDefault="00E1506E" w:rsidP="00E1506E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完成与医院现有 PACS 系统、HIS系统对接工作；</w:t>
            </w:r>
          </w:p>
          <w:p w:rsidR="00E1506E" w:rsidRDefault="00E1506E" w:rsidP="00E1506E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为响应相关政策要求，按照安徽省卫健委《“智联网医院系统”检查检验共享监管子平台互联互通接口方案》中所涉及的接口功能及要求提供服务，在规定时间内完成影像数据调阅、提醒和编码对照测试工作，具体如下：</w:t>
            </w:r>
          </w:p>
          <w:p w:rsidR="00E1506E" w:rsidRDefault="00E1506E" w:rsidP="00F516AD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①调阅：医生工作站能调阅到已接入“智联网医院系统”检查检验共享监管子平台的医疗机构的影像检查数据；</w:t>
            </w:r>
          </w:p>
          <w:p w:rsidR="00E1506E" w:rsidRDefault="00E1506E" w:rsidP="00F516AD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②提醒：能实现当医生开检查单时，若该患者在其他已接入安徽省“智联网医院系统”检查检验共享监管子平台的医疗机构已经做过相同的检查项目时，自动弹出提醒信息；</w:t>
            </w:r>
          </w:p>
          <w:p w:rsidR="00E1506E" w:rsidRDefault="00E1506E" w:rsidP="00F516AD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③编码对照：能实现医院的检查项目编码与安徽省“智联网医院系统”检查检验共享监管子平台标准编码进行对照。</w:t>
            </w:r>
          </w:p>
        </w:tc>
      </w:tr>
      <w:tr w:rsidR="00E1506E" w:rsidTr="00F516AD">
        <w:trPr>
          <w:trHeight w:val="2815"/>
        </w:trPr>
        <w:tc>
          <w:tcPr>
            <w:tcW w:w="732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119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配套硬件</w:t>
            </w:r>
          </w:p>
        </w:tc>
        <w:tc>
          <w:tcPr>
            <w:tcW w:w="7168" w:type="dxa"/>
          </w:tcPr>
          <w:p w:rsidR="00E1506E" w:rsidRDefault="00E1506E" w:rsidP="00F516AD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本项目须提供1台存储服务器，用于缓存医院近期影像数据，以保障业务应用系统正常使用。配置如下：</w:t>
            </w:r>
          </w:p>
          <w:p w:rsidR="00E1506E" w:rsidRDefault="00E1506E" w:rsidP="00E1506E">
            <w:pPr>
              <w:widowControl/>
              <w:numPr>
                <w:ilvl w:val="0"/>
                <w:numId w:val="8"/>
              </w:numPr>
              <w:spacing w:line="360" w:lineRule="auto"/>
              <w:ind w:firstLine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CPU不低于1*4309Y银牌；</w:t>
            </w:r>
          </w:p>
          <w:p w:rsidR="00E1506E" w:rsidRDefault="00E1506E" w:rsidP="00E1506E">
            <w:pPr>
              <w:widowControl/>
              <w:numPr>
                <w:ilvl w:val="0"/>
                <w:numId w:val="8"/>
              </w:numPr>
              <w:spacing w:line="360" w:lineRule="auto"/>
              <w:ind w:firstLine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内存不低于 </w:t>
            </w:r>
            <w:r>
              <w:rPr>
                <w:rFonts w:ascii="宋体" w:hAnsi="宋体" w:cs="宋体" w:hint="eastAsia"/>
                <w:sz w:val="21"/>
                <w:szCs w:val="21"/>
              </w:rPr>
              <w:t>2*32G</w:t>
            </w:r>
            <w:r>
              <w:rPr>
                <w:rFonts w:ascii="宋体" w:hAnsi="宋体" w:cs="宋体"/>
                <w:sz w:val="21"/>
                <w:szCs w:val="21"/>
              </w:rPr>
              <w:t>；</w:t>
            </w:r>
          </w:p>
          <w:p w:rsidR="00E1506E" w:rsidRDefault="00E1506E" w:rsidP="00E1506E">
            <w:pPr>
              <w:widowControl/>
              <w:numPr>
                <w:ilvl w:val="0"/>
                <w:numId w:val="8"/>
              </w:numPr>
              <w:spacing w:line="360" w:lineRule="auto"/>
              <w:ind w:firstLine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硬盘不低于 2*480G 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*8T SAS；</w:t>
            </w:r>
          </w:p>
          <w:p w:rsidR="00E1506E" w:rsidRDefault="00E1506E" w:rsidP="00E1506E">
            <w:pPr>
              <w:widowControl/>
              <w:numPr>
                <w:ilvl w:val="0"/>
                <w:numId w:val="8"/>
              </w:numPr>
              <w:spacing w:line="360" w:lineRule="auto"/>
              <w:ind w:firstLine="0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配置双电源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 w:rsidR="00E1506E" w:rsidTr="00F516AD">
        <w:trPr>
          <w:trHeight w:val="462"/>
        </w:trPr>
        <w:tc>
          <w:tcPr>
            <w:tcW w:w="732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  <w:t>9</w:t>
            </w:r>
          </w:p>
        </w:tc>
        <w:tc>
          <w:tcPr>
            <w:tcW w:w="1119" w:type="dxa"/>
            <w:vAlign w:val="center"/>
          </w:tcPr>
          <w:p w:rsidR="00E1506E" w:rsidRDefault="00E1506E" w:rsidP="00F516AD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其他服务</w:t>
            </w:r>
          </w:p>
        </w:tc>
        <w:tc>
          <w:tcPr>
            <w:tcW w:w="7168" w:type="dxa"/>
          </w:tcPr>
          <w:p w:rsidR="00E1506E" w:rsidRDefault="00E1506E" w:rsidP="00E1506E">
            <w:pPr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升级服务。设有专业的运维服务中心，服务期内负责免费升级、维护；</w:t>
            </w:r>
          </w:p>
          <w:p w:rsidR="00E1506E" w:rsidRDefault="00E1506E" w:rsidP="00E1506E">
            <w:pPr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驻场服务。提供院内向患者宣传与告知服务，保障患者能够了解数字影像服务，并提供不少于1名服务人员，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为患者提供使用引导、答疑等服务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E1506E" w:rsidRDefault="00E1506E" w:rsidP="00E1506E">
            <w:pPr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textAlignment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培训。根据医院要求提供免费现场培训服务。培训对象包括系统使用操作人员、管理人员、系统维护人员等，培训内容包括系统操作方法、流程、日常维护及问题处理方法等内容，并提交培训记录。</w:t>
            </w:r>
          </w:p>
        </w:tc>
      </w:tr>
    </w:tbl>
    <w:p w:rsidR="00D81202" w:rsidRPr="00E1506E" w:rsidRDefault="00D81202">
      <w:bookmarkStart w:id="0" w:name="_GoBack"/>
      <w:bookmarkEnd w:id="0"/>
    </w:p>
    <w:sectPr w:rsidR="00D81202" w:rsidRPr="00E1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D9" w:rsidRDefault="00AC32D9" w:rsidP="00E1506E">
      <w:r>
        <w:separator/>
      </w:r>
    </w:p>
  </w:endnote>
  <w:endnote w:type="continuationSeparator" w:id="0">
    <w:p w:rsidR="00AC32D9" w:rsidRDefault="00AC32D9" w:rsidP="00E1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D9" w:rsidRDefault="00AC32D9" w:rsidP="00E1506E">
      <w:r>
        <w:separator/>
      </w:r>
    </w:p>
  </w:footnote>
  <w:footnote w:type="continuationSeparator" w:id="0">
    <w:p w:rsidR="00AC32D9" w:rsidRDefault="00AC32D9" w:rsidP="00E1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D6F226"/>
    <w:multiLevelType w:val="singleLevel"/>
    <w:tmpl w:val="AAD6F22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AD5FEADD"/>
    <w:multiLevelType w:val="singleLevel"/>
    <w:tmpl w:val="AD5FEAD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04DC330"/>
    <w:multiLevelType w:val="singleLevel"/>
    <w:tmpl w:val="C04DC33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B51C2ED"/>
    <w:multiLevelType w:val="singleLevel"/>
    <w:tmpl w:val="EB51C2E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73A24A7"/>
    <w:multiLevelType w:val="singleLevel"/>
    <w:tmpl w:val="F73A24A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0000016"/>
    <w:multiLevelType w:val="singleLevel"/>
    <w:tmpl w:val="0000001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370644C"/>
    <w:multiLevelType w:val="singleLevel"/>
    <w:tmpl w:val="2370644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D5"/>
    <w:rsid w:val="004E6323"/>
    <w:rsid w:val="007830D5"/>
    <w:rsid w:val="00AC32D9"/>
    <w:rsid w:val="00D81202"/>
    <w:rsid w:val="00E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93C71-7FDE-45A0-A35A-2E7B0F75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06E"/>
    <w:rPr>
      <w:sz w:val="18"/>
      <w:szCs w:val="18"/>
    </w:rPr>
  </w:style>
  <w:style w:type="table" w:styleId="a7">
    <w:name w:val="Table Grid"/>
    <w:basedOn w:val="a1"/>
    <w:rsid w:val="00E150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2024-09-30T01:32:00Z</dcterms:created>
  <dcterms:modified xsi:type="dcterms:W3CDTF">2024-09-30T01:49:00Z</dcterms:modified>
</cp:coreProperties>
</file>