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2"/>
        <w:jc w:val="center"/>
      </w:pPr>
      <w:r>
        <w:rPr>
          <w:rFonts w:hint="eastAsia" w:ascii="宋体" w:hAnsi="宋体" w:eastAsia="宋体" w:cs="宋体"/>
          <w:b/>
          <w:color w:val="000000"/>
        </w:rPr>
        <w:t>数字化双能谱X射线骨密度仪技术参数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b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一、设备名称：数字化双能谱X射线骨密度测量系统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b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二、数量一台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三、要求：CFDA证等相关证件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四、临床应用：诊断骨质疏松、预测骨折危险、骨质疏松治疗评估、诊断有关部位骨骼健康状态、健康医学检查以及涉及到骨密度的多项目多学科临床应用及科研，未来10年骨折危险性评估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五、设备主机技术参数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5.1、探测系统参数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b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5.1.1探测器类型：数字化闪烁体探测器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★5.1.2探测器接收：两套独立工作的数字化探测器系统：一套接收高能，另一套接收低能；同时接收和计算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5.2、X线源球管参数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5.2.1能量：K缘过滤同时产生高能、低能两种能量X线，双能的峰值：高能≥70KeV，低能≤50KeV，球管可以连续长时间工作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★5.2.2球管电流：稳定的X线球管工作电流1.3mA土20%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★5.2.3球管电压：稳定的X线球管工作电压100KV土10%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5.2.3球管冷却：油冷+风冷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5.3、扫描参数与功能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5.3.1扫描模式:高效准窄锥线束，窄锥角≤1.5°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★5.3.2体厚补偿：含有可调节7种水平以上的滤线器，可直接测量2mm以上不同厚度的被测体，无需任何辅助，测得真实数据，具有真实图像。（要求生产厂提供相关技术图片、相关文件）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5.3.3有效扫描范围：长度≥190cm；宽度≥65cm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5.3.4最小扫描时间:单部位≤75秒，全身扫描≤5分钟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5.3.5扫描定位：准确激光定位器；扫描床智能定位，任意选择扫描部位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5.4、质量控制系统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★5.4.1质控系统之校准（QA）：≥77个标准参考值的阶梯校准器，校准使机器达到规定的精确度和准确度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5.4.2测量准确性:骨密度测量误差≤1. 0%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5.4.3测量重复性:骨密度测量重复变异系数≤0.7%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5.4.4 T值准确性: T值测量误差≤士0.1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5.4.5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Z值准确性:Z值测量误差≤士0.1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5.4.6具有开机QA校准和长期趋势QA校准功能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5.4.7具有自动诊断仪器各功能状态测试软件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5.5、辐射剂量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5.5.1病人扫描辐射剂量:脊柱/股骨/前臂扫描剂量≤1mGy/h,实测0. 05 mGy/h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5.5.2全身扫描辐射剂量：≤0.01mGy/h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5.5.3曝光辐射度（球管源1米处或以外）：≤1.5uSv/h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5.6、检测报告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5.6.1彩色扫描影像，多部位报告集成功能，多图像展示；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5.6.2BMD，BMC，T值，Z值；每个局部区域的曲线、骨密度、骨含量、骨长度、骨面积参数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firstLine="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六、标准软件系统配置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00"/>
          <w:sz w:val="18"/>
          <w:szCs w:val="18"/>
        </w:rPr>
        <w:t>6.1正位腰椎扫描分析软件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6.2腰椎单部位骨密度和骨折危险性分析功能。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6.3髋部扫描分析软件，左右髋部骨密度自动搜寻功能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6.4髋部股骨颈、大粗隆和WARD’S单部位骨密度和骨折危险性分析功能</w:t>
      </w:r>
    </w:p>
    <w:p>
      <w:pPr>
        <w:pStyle w:val="158"/>
        <w:keepNext w:val="0"/>
        <w:keepLines w:val="0"/>
        <w:pageBreakBefore w:val="0"/>
        <w:widowControl/>
        <w:tabs>
          <w:tab w:val="left" w:pos="119"/>
          <w:tab w:val="left" w:pos="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textAlignment w:val="auto"/>
        <w:rPr>
          <w:rFonts w:hint="eastAsia" w:ascii="宋体" w:hAnsi="宋体" w:eastAsia="宋体" w:cs="宋体"/>
          <w:b w:val="0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★6.5具备一键多扫功能，一次摆位，即能完成脊柱和双侧髋关节3个部位的扫描</w:t>
      </w:r>
    </w:p>
    <w:p>
      <w:pPr>
        <w:pStyle w:val="158"/>
        <w:keepNext w:val="0"/>
        <w:keepLines w:val="0"/>
        <w:pageBreakBefore w:val="0"/>
        <w:widowControl/>
        <w:tabs>
          <w:tab w:val="left" w:pos="119"/>
          <w:tab w:val="left" w:pos="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6.6左右前臂扫描分析软件</w:t>
      </w:r>
      <w:r>
        <w:rPr>
          <w:rFonts w:hint="eastAsia" w:ascii="宋体" w:hAnsi="宋体" w:eastAsia="宋体" w:cs="宋体"/>
          <w:sz w:val="18"/>
          <w:szCs w:val="18"/>
        </w:rPr>
        <w:tab/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6.7中国人群参考值数据库（权威发表的论文佐证，同时含有国际NHENS数据库）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6.8未来10年髋部骨折的风险评功能（FRAX）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after="8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00"/>
          <w:sz w:val="18"/>
          <w:szCs w:val="18"/>
        </w:rPr>
        <w:t>6.9体重和种族差异校正软件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★6.10全身扫描分析软件：一次性对全身进行扫描，得到全身准确的BMC值、BMD值，肌肉和脂肪成分分布。同时可对头部、胸部、腹部和四肢各区域进行单独分析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after="80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6.11 Research全身任意部位（ROI）智慧软件。可对全身任何感兴趣部位进行扫描，同时可测量颚骨，指骨和下肢骨等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after="80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6.12病情趋势观察，数据自动呈现在扫描报告上，包括影像扫描结果的对比，短期和长期骨密度的变化% 百分比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after="8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★6.13计算机自动辅助诊断分析软件及系统自诊断软件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七、系统工作站要求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/>
        <w:ind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7.1高性能品牌电脑工作站（含21英寸液晶显示器、</w:t>
      </w:r>
      <w:r>
        <w:rPr>
          <w:rFonts w:hint="eastAsia" w:ascii="宋体" w:hAnsi="宋体" w:eastAsia="宋体" w:cs="宋体"/>
          <w:b w:val="0"/>
          <w:color w:val="000000"/>
          <w:sz w:val="18"/>
          <w:szCs w:val="18"/>
          <w:lang w:val="en-US" w:eastAsia="zh-CN"/>
        </w:rPr>
        <w:t>nitel</w:t>
      </w: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主流高速双核处理器、内存4G、1T大容量硬盘等附件）。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00"/>
          <w:sz w:val="18"/>
          <w:szCs w:val="18"/>
        </w:rPr>
        <w:t>7.2彩色喷墨打印机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color w:val="000000"/>
          <w:sz w:val="18"/>
          <w:szCs w:val="18"/>
        </w:rPr>
        <w:t>7.3稳压电源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7.4系统工作站台车</w:t>
      </w:r>
    </w:p>
    <w:p>
      <w:pPr>
        <w:pStyle w:val="1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color w:val="000000"/>
          <w:sz w:val="18"/>
          <w:szCs w:val="18"/>
        </w:rPr>
        <w:t>7.5 DICOM/PACS/HIS 互联网接口</w:t>
      </w:r>
      <w:bookmarkStart w:id="0" w:name="_GoBack"/>
      <w:bookmarkEnd w:id="0"/>
    </w:p>
    <w:p>
      <w:pPr>
        <w:jc w:val="right"/>
      </w:pPr>
    </w:p>
    <w:sectPr>
      <w:pgSz w:w="12240" w:h="15840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FA6B68"/>
    <w:rsid w:val="5FBA5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7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6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6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68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8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67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7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7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6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5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contextualSpacing/>
    </w:pPr>
  </w:style>
  <w:style w:type="paragraph" w:styleId="14">
    <w:name w:val="List Number"/>
    <w:basedOn w:val="1"/>
    <w:unhideWhenUsed/>
    <w:qFormat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contextualSpacing/>
    </w:pPr>
  </w:style>
  <w:style w:type="paragraph" w:styleId="17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contextualSpacing/>
    </w:pPr>
  </w:style>
  <w:style w:type="paragraph" w:styleId="19">
    <w:name w:val="Body Text"/>
    <w:basedOn w:val="1"/>
    <w:link w:val="183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contextualSpacing/>
    </w:pPr>
  </w:style>
  <w:style w:type="paragraph" w:styleId="24">
    <w:name w:val="footer"/>
    <w:basedOn w:val="1"/>
    <w:link w:val="15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8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5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50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7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6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37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38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9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40">
    <w:name w:val="Body Text 2 Char"/>
    <w:basedOn w:val="132"/>
    <w:link w:val="28"/>
    <w:qFormat/>
    <w:uiPriority w:val="99"/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43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4">
    <w:name w:val="Book Title"/>
    <w:basedOn w:val="132"/>
    <w:qFormat/>
    <w:uiPriority w:val="33"/>
    <w:rPr>
      <w:b/>
      <w:bCs/>
      <w:smallCaps/>
      <w:spacing w:val="5"/>
    </w:rPr>
  </w:style>
  <w:style w:type="character" w:customStyle="1" w:styleId="145">
    <w:name w:val="Book Title1"/>
    <w:basedOn w:val="132"/>
    <w:qFormat/>
    <w:uiPriority w:val="33"/>
    <w:rPr>
      <w:b/>
      <w:bCs/>
      <w:smallCaps/>
      <w:spacing w:val="5"/>
    </w:rPr>
  </w:style>
  <w:style w:type="character" w:customStyle="1" w:styleId="146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147">
    <w:name w:val="Quote"/>
    <w:basedOn w:val="1"/>
    <w:next w:val="1"/>
    <w:link w:val="18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8">
    <w:name w:val="Body Text 3 Char1"/>
    <w:basedOn w:val="132"/>
    <w:link w:val="17"/>
    <w:qFormat/>
    <w:uiPriority w:val="99"/>
    <w:rPr>
      <w:sz w:val="16"/>
      <w:szCs w:val="16"/>
    </w:rPr>
  </w:style>
  <w:style w:type="paragraph" w:styleId="149">
    <w:name w:val="List Paragraph"/>
    <w:basedOn w:val="1"/>
    <w:qFormat/>
    <w:uiPriority w:val="34"/>
    <w:pPr>
      <w:ind w:left="720"/>
      <w:contextualSpacing/>
    </w:pPr>
  </w:style>
  <w:style w:type="character" w:customStyle="1" w:styleId="150">
    <w:name w:val="Body Text 2 Char1"/>
    <w:basedOn w:val="132"/>
    <w:link w:val="28"/>
    <w:qFormat/>
    <w:uiPriority w:val="99"/>
  </w:style>
  <w:style w:type="character" w:customStyle="1" w:styleId="151">
    <w:name w:val="Intense Emphasis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3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4">
    <w:name w:val="Subtitle Char1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55">
    <w:name w:val="Footer Char"/>
    <w:basedOn w:val="132"/>
    <w:link w:val="24"/>
    <w:qFormat/>
    <w:uiPriority w:val="99"/>
  </w:style>
  <w:style w:type="character" w:customStyle="1" w:styleId="156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8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58">
    <w:name w:val="p_12_黑体"/>
    <w:basedOn w:val="1"/>
    <w:qFormat/>
    <w:uiPriority w:val="0"/>
    <w:rPr>
      <w:rFonts w:ascii="Times New Roman" w:hAnsi="黑体" w:eastAsia="黑体"/>
      <w:b/>
      <w:color w:val="000000"/>
      <w:sz w:val="24"/>
    </w:rPr>
  </w:style>
  <w:style w:type="character" w:customStyle="1" w:styleId="159">
    <w:name w:val="Quote Char"/>
    <w:basedOn w:val="132"/>
    <w:link w:val="1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6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61">
    <w:name w:val="Heading 3 Char1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3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64">
    <w:name w:val="Heading 9 Char1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5">
    <w:name w:val="Heading 2 Char1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7">
    <w:name w:val="Heading 6 Char1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68">
    <w:name w:val="Heading 4 Char1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9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0">
    <w:name w:val="Heading 8 Char1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1">
    <w:name w:val="Heading 1 Char1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72">
    <w:name w:val="p_15_黑体"/>
    <w:basedOn w:val="1"/>
    <w:qFormat/>
    <w:uiPriority w:val="0"/>
    <w:rPr>
      <w:rFonts w:ascii="Times New Roman" w:hAnsi="黑体" w:eastAsia="黑体"/>
      <w:b/>
      <w:color w:val="000000"/>
      <w:sz w:val="30"/>
    </w:rPr>
  </w:style>
  <w:style w:type="character" w:customStyle="1" w:styleId="173">
    <w:name w:val="Body Text Char"/>
    <w:basedOn w:val="132"/>
    <w:link w:val="19"/>
    <w:qFormat/>
    <w:uiPriority w:val="99"/>
  </w:style>
  <w:style w:type="character" w:customStyle="1" w:styleId="174">
    <w:name w:val="Heading 7 Char1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5">
    <w:name w:val="Title Char1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6">
    <w:name w:val="TOC Heading1"/>
    <w:basedOn w:val="3"/>
    <w:next w:val="1"/>
    <w:semiHidden/>
    <w:unhideWhenUsed/>
    <w:qFormat/>
    <w:uiPriority w:val="39"/>
    <w:pPr>
      <w:outlineLvl w:val="9"/>
    </w:pPr>
  </w:style>
  <w:style w:type="character" w:customStyle="1" w:styleId="177">
    <w:name w:val="Intense Reference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8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9">
    <w:name w:val="Subtle Reference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80">
    <w:name w:val="Intense Quote Char"/>
    <w:basedOn w:val="132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1">
    <w:name w:val="Heading 5 Char1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82">
    <w:name w:val="Subtle Emphasis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3">
    <w:name w:val="Body Text Char1"/>
    <w:basedOn w:val="132"/>
    <w:link w:val="19"/>
    <w:qFormat/>
    <w:uiPriority w:val="99"/>
  </w:style>
  <w:style w:type="character" w:customStyle="1" w:styleId="184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85">
    <w:name w:val="Macro Text Char1"/>
    <w:basedOn w:val="132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86">
    <w:name w:val="Intense Quote Char1"/>
    <w:basedOn w:val="132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7">
    <w:name w:val="Header Char"/>
    <w:basedOn w:val="132"/>
    <w:link w:val="25"/>
    <w:qFormat/>
    <w:uiPriority w:val="99"/>
  </w:style>
  <w:style w:type="character" w:customStyle="1" w:styleId="188">
    <w:name w:val="Quote Char1"/>
    <w:basedOn w:val="132"/>
    <w:link w:val="1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1272</Words>
  <Characters>1542</Characters>
  <TotalTime>1</TotalTime>
  <ScaleCrop>false</ScaleCrop>
  <LinksUpToDate>false</LinksUpToDate>
  <CharactersWithSpaces>1553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2024-07-03T10:20:00Z</dcterms:created>
  <dc:creator>Administrator</dc:creator>
  <cp:lastModifiedBy>杨志友</cp:lastModifiedBy>
  <dcterms:modified xsi:type="dcterms:W3CDTF">2024-07-03T02:55:15Z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EB66329C0C204F4B8E54C03E406FEF46_12</vt:lpwstr>
  </property>
</Properties>
</file>