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14" w:rsidRDefault="00716D14">
      <w:pPr>
        <w:pStyle w:val="Default"/>
        <w:rPr>
          <w:rFonts w:ascii="宋体" w:eastAsia="宋体" w:hAnsi="宋体" w:cs="宋体"/>
          <w:sz w:val="24"/>
          <w:szCs w:val="24"/>
        </w:rPr>
      </w:pPr>
      <w:bookmarkStart w:id="0" w:name="_Toc283100314"/>
    </w:p>
    <w:bookmarkEnd w:id="0"/>
    <w:p w:rsidR="00716D14" w:rsidRDefault="001F4D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全自动生化免疫分析检测系统</w:t>
      </w:r>
    </w:p>
    <w:p w:rsidR="00716D14" w:rsidRDefault="001F4D8F">
      <w:pPr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设备技术要求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855"/>
        <w:gridCol w:w="6854"/>
      </w:tblGrid>
      <w:tr w:rsidR="00716D14">
        <w:trPr>
          <w:trHeight w:val="270"/>
          <w:jc w:val="center"/>
        </w:trPr>
        <w:tc>
          <w:tcPr>
            <w:tcW w:w="1611" w:type="dxa"/>
            <w:noWrap/>
            <w:vAlign w:val="center"/>
          </w:tcPr>
          <w:p w:rsidR="00716D14" w:rsidRDefault="001F4D8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855" w:type="dxa"/>
            <w:noWrap/>
            <w:vAlign w:val="center"/>
          </w:tcPr>
          <w:p w:rsidR="00716D14" w:rsidRDefault="001F4D8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6854" w:type="dxa"/>
            <w:noWrap/>
            <w:vAlign w:val="center"/>
          </w:tcPr>
          <w:p w:rsidR="00716D14" w:rsidRDefault="001F4D8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技术要求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 w:val="restart"/>
            <w:vAlign w:val="center"/>
          </w:tcPr>
          <w:p w:rsidR="00716D14" w:rsidRDefault="001F4D8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1.整体要求</w:t>
            </w: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★1.1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全自动检测设备，数量1台。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★1.2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检测原理：</w:t>
            </w:r>
            <w:r>
              <w:rPr>
                <w:bCs/>
                <w:sz w:val="24"/>
                <w:szCs w:val="21"/>
              </w:rPr>
              <w:t>干化学法、化学发光法</w:t>
            </w:r>
            <w:r>
              <w:rPr>
                <w:rFonts w:hint="eastAsia"/>
                <w:bCs/>
                <w:sz w:val="24"/>
                <w:szCs w:val="21"/>
              </w:rPr>
              <w:t>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1.3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用于门急诊生化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及免疫项目</w:t>
            </w:r>
            <w:r>
              <w:rPr>
                <w:rFonts w:ascii="宋体" w:hAnsi="宋体" w:cs="宋体" w:hint="eastAsia"/>
                <w:sz w:val="24"/>
              </w:rPr>
              <w:t>检测。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进样模块自带急诊样本位。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急诊位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≥10个。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1.5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检测系统自带条码阅读器，可识别各种国际标准条码，并对错误条码或不清晰条码能有报警提示功能。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1.6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轨道控制软件可与轨道中的所有模块和活动元件进行通信，可根据各模块的运行状态引导样本以最有效的方式到达目标位置，可管理并监控样本的工作流程，以及各活动组件的状态信息，并可通过可视化轨道布局图实时查看样本在轨道中的运转路径。</w:t>
            </w:r>
          </w:p>
        </w:tc>
      </w:tr>
      <w:tr w:rsidR="001A7020">
        <w:trPr>
          <w:trHeight w:val="270"/>
          <w:jc w:val="center"/>
        </w:trPr>
        <w:tc>
          <w:tcPr>
            <w:tcW w:w="1611" w:type="dxa"/>
            <w:vAlign w:val="center"/>
          </w:tcPr>
          <w:p w:rsidR="001A7020" w:rsidRPr="001A7020" w:rsidRDefault="001A702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1A7020" w:rsidRDefault="001A702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sz w:val="24"/>
              </w:rPr>
              <w:t>1.7</w:t>
            </w:r>
          </w:p>
        </w:tc>
        <w:tc>
          <w:tcPr>
            <w:tcW w:w="6854" w:type="dxa"/>
            <w:noWrap/>
          </w:tcPr>
          <w:p w:rsidR="001A7020" w:rsidRDefault="001A7020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采用独立的机上废物管理模块，无需供水及排水。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 w:val="restart"/>
            <w:noWrap/>
            <w:vAlign w:val="center"/>
          </w:tcPr>
          <w:p w:rsidR="00716D14" w:rsidRDefault="001F4D8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2、全自动生化免疫分析仪要求</w:t>
            </w: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2.1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测试剂：为整合试剂包，即开即用，无需进行混匀或水化处理；生化试剂上机稳定期≥7天，免疫试剂上机稳定期≥20天；同批号试剂只需定标一次，生化检测定标周期≥6个月，免疫检测定标周期≥28天，需提供原厂试剂说明书证明文件；运行过程中可实现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停机装载和卸载试剂包；机上装载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试剂位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≥140个。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2.2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检测速度：生化免疫分析模块同时上机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样本位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≥90个，生化免疫分析模块综合检测速度≥900测试/小时，且生化检测项目单个样本报告时间≦30分钟，心衰/卒中相关项目报告时间≦20分钟；免疫检测项目单个样本报告时间≦60分钟。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2.3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样品类型：支持血清、血浆、尿液、脑脊液</w:t>
            </w:r>
            <w:r w:rsidR="001A7020">
              <w:rPr>
                <w:rFonts w:ascii="宋体" w:hAnsi="宋体" w:cs="宋体" w:hint="eastAsia"/>
                <w:sz w:val="24"/>
              </w:rPr>
              <w:t>、羊水</w:t>
            </w:r>
            <w:r>
              <w:rPr>
                <w:rFonts w:ascii="宋体" w:hAnsi="宋体" w:cs="宋体" w:hint="eastAsia"/>
                <w:sz w:val="24"/>
              </w:rPr>
              <w:t>等标本类型，且在运行过程中，可实现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停机连续装载和卸载样本。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★2.4</w:t>
            </w:r>
          </w:p>
        </w:tc>
        <w:tc>
          <w:tcPr>
            <w:tcW w:w="6854" w:type="dxa"/>
            <w:noWrap/>
          </w:tcPr>
          <w:p w:rsidR="00716D14" w:rsidRDefault="001A7020" w:rsidP="001A7020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样品检测：采用一次性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吸样头完成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样本吸取和加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样避免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交叉污染</w:t>
            </w:r>
            <w:r w:rsidR="001F4D8F">
              <w:rPr>
                <w:rFonts w:ascii="宋体" w:hAnsi="宋体" w:cs="宋体" w:hint="eastAsia"/>
                <w:sz w:val="24"/>
              </w:rPr>
              <w:t>。能够提供血清指数（脂血、溶血、黄疸检测）报告及上传</w:t>
            </w:r>
            <w:proofErr w:type="spellStart"/>
            <w:r w:rsidR="001F4D8F">
              <w:rPr>
                <w:rFonts w:ascii="宋体" w:hAnsi="宋体" w:cs="宋体" w:hint="eastAsia"/>
                <w:sz w:val="24"/>
              </w:rPr>
              <w:t>lis</w:t>
            </w:r>
            <w:proofErr w:type="spellEnd"/>
            <w:r w:rsidR="001F4D8F">
              <w:rPr>
                <w:rFonts w:ascii="宋体" w:hAnsi="宋体" w:cs="宋体" w:hint="eastAsia"/>
                <w:sz w:val="24"/>
              </w:rPr>
              <w:t>系统，并提供证明材料。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检测方式：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随机上样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，检测项目可进行组合和单一检测。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2.6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检测系统支持24小时待机，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校准数据可自动备份，查询，包括试剂批号、校准值和校准系数的查询、反应曲线。</w:t>
            </w:r>
          </w:p>
        </w:tc>
      </w:tr>
      <w:tr w:rsidR="00716D14">
        <w:trPr>
          <w:trHeight w:val="270"/>
          <w:jc w:val="center"/>
        </w:trPr>
        <w:tc>
          <w:tcPr>
            <w:tcW w:w="1611" w:type="dxa"/>
            <w:vMerge/>
            <w:vAlign w:val="center"/>
          </w:tcPr>
          <w:p w:rsidR="00716D14" w:rsidRDefault="00716D1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样本稀释功能：可进行样本自动稀释检测，并免费提供稀释液。</w:t>
            </w:r>
          </w:p>
        </w:tc>
      </w:tr>
      <w:tr w:rsidR="00716D14">
        <w:trPr>
          <w:trHeight w:val="375"/>
          <w:jc w:val="center"/>
        </w:trPr>
        <w:tc>
          <w:tcPr>
            <w:tcW w:w="1611" w:type="dxa"/>
            <w:vMerge w:val="restart"/>
            <w:vAlign w:val="center"/>
          </w:tcPr>
          <w:p w:rsidR="00716D14" w:rsidRDefault="001F4D8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3.项目要求</w:t>
            </w: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★3.1</w:t>
            </w:r>
          </w:p>
        </w:tc>
        <w:tc>
          <w:tcPr>
            <w:tcW w:w="6854" w:type="dxa"/>
            <w:noWrap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b/>
                <w:sz w:val="24"/>
              </w:rPr>
              <w:t>开展项目</w:t>
            </w:r>
            <w:r>
              <w:rPr>
                <w:sz w:val="24"/>
              </w:rPr>
              <w:t>：丙氨酸氨基转移酶，天冬氨酸氨基转移酶，总胆红素，结合未结合胆红素，</w:t>
            </w:r>
            <w:r>
              <w:rPr>
                <w:rFonts w:hint="eastAsia"/>
                <w:sz w:val="24"/>
              </w:rPr>
              <w:t>总蛋白，白蛋白，</w:t>
            </w:r>
            <w:r>
              <w:rPr>
                <w:sz w:val="24"/>
              </w:rPr>
              <w:t>胆碱酯酶，尿素氮，肌</w:t>
            </w:r>
            <w:proofErr w:type="gramStart"/>
            <w:r>
              <w:rPr>
                <w:sz w:val="24"/>
              </w:rPr>
              <w:t>酐</w:t>
            </w:r>
            <w:proofErr w:type="gramEnd"/>
            <w:r>
              <w:rPr>
                <w:sz w:val="24"/>
              </w:rPr>
              <w:t>，</w:t>
            </w:r>
            <w:r w:rsidR="001A7020">
              <w:rPr>
                <w:sz w:val="24"/>
              </w:rPr>
              <w:t>尿酸</w:t>
            </w:r>
            <w:r w:rsidR="001A7020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钾，钠，氯，钙，二氧化碳，葡萄糖，淀粉酶，脂肪酶，血浆氨，</w:t>
            </w:r>
            <w:r>
              <w:rPr>
                <w:rFonts w:hint="eastAsia"/>
                <w:color w:val="000000"/>
                <w:sz w:val="24"/>
              </w:rPr>
              <w:t>乙肝表面抗原测定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丙肝抗体测定，艾滋抗体测定，梅毒抗体测定，</w:t>
            </w:r>
            <w:r>
              <w:rPr>
                <w:sz w:val="24"/>
              </w:rPr>
              <w:t>β-</w:t>
            </w:r>
            <w:r>
              <w:rPr>
                <w:sz w:val="24"/>
              </w:rPr>
              <w:t>人绒毛膜促性腺激素测定，孕酮</w:t>
            </w:r>
            <w:r w:rsidR="001A7020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高敏肌钙蛋白</w:t>
            </w: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N</w:t>
            </w:r>
            <w:r>
              <w:rPr>
                <w:rFonts w:hint="eastAsia"/>
                <w:color w:val="000000"/>
                <w:sz w:val="24"/>
              </w:rPr>
              <w:t>端脑钠肽前体测定</w:t>
            </w:r>
            <w:r w:rsidR="00935694">
              <w:rPr>
                <w:rFonts w:hint="eastAsia"/>
                <w:color w:val="000000"/>
                <w:sz w:val="24"/>
              </w:rPr>
              <w:t>。</w:t>
            </w:r>
          </w:p>
        </w:tc>
      </w:tr>
      <w:tr w:rsidR="00716D14">
        <w:trPr>
          <w:trHeight w:val="375"/>
          <w:jc w:val="center"/>
        </w:trPr>
        <w:tc>
          <w:tcPr>
            <w:tcW w:w="1611" w:type="dxa"/>
            <w:vMerge/>
          </w:tcPr>
          <w:p w:rsidR="00716D14" w:rsidRDefault="00716D1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3.2</w:t>
            </w:r>
          </w:p>
        </w:tc>
        <w:tc>
          <w:tcPr>
            <w:tcW w:w="6854" w:type="dxa"/>
          </w:tcPr>
          <w:p w:rsidR="00716D14" w:rsidRDefault="001F4D8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以上所供产品需在集采目录中，并提供集采流水号或备案号</w:t>
            </w:r>
          </w:p>
        </w:tc>
      </w:tr>
      <w:tr w:rsidR="00716D14">
        <w:trPr>
          <w:trHeight w:val="510"/>
          <w:jc w:val="center"/>
        </w:trPr>
        <w:tc>
          <w:tcPr>
            <w:tcW w:w="1611" w:type="dxa"/>
            <w:vMerge/>
          </w:tcPr>
          <w:p w:rsidR="00716D14" w:rsidRDefault="00716D1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3.3</w:t>
            </w:r>
          </w:p>
        </w:tc>
        <w:tc>
          <w:tcPr>
            <w:tcW w:w="6854" w:type="dxa"/>
            <w:noWrap/>
          </w:tcPr>
          <w:p w:rsidR="00716D14" w:rsidRDefault="00537F35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配套试剂</w:t>
            </w:r>
            <w:r w:rsidR="001F4D8F">
              <w:rPr>
                <w:rFonts w:ascii="宋体" w:hAnsi="宋体" w:cs="宋体" w:hint="eastAsia"/>
                <w:sz w:val="24"/>
              </w:rPr>
              <w:t>重复性精密度</w:t>
            </w:r>
            <w:r w:rsidR="001F4D8F">
              <w:rPr>
                <w:rFonts w:ascii="宋体" w:hAnsi="宋体" w:cs="宋体" w:hint="eastAsia"/>
                <w:color w:val="000000"/>
                <w:sz w:val="24"/>
              </w:rPr>
              <w:t>≤</w:t>
            </w:r>
            <w:r w:rsidR="001F4D8F">
              <w:rPr>
                <w:rFonts w:ascii="宋体" w:hAnsi="宋体" w:cs="宋体" w:hint="eastAsia"/>
                <w:sz w:val="24"/>
              </w:rPr>
              <w:t>1/4Tea，中间精密度</w:t>
            </w:r>
            <w:r w:rsidR="001F4D8F">
              <w:rPr>
                <w:rFonts w:ascii="宋体" w:hAnsi="宋体" w:cs="宋体" w:hint="eastAsia"/>
                <w:color w:val="000000"/>
                <w:sz w:val="24"/>
              </w:rPr>
              <w:t>≤</w:t>
            </w:r>
            <w:r w:rsidR="001F4D8F">
              <w:rPr>
                <w:rFonts w:ascii="宋体" w:hAnsi="宋体" w:cs="宋体" w:hint="eastAsia"/>
                <w:sz w:val="24"/>
              </w:rPr>
              <w:t>1/3Tea</w:t>
            </w:r>
          </w:p>
        </w:tc>
      </w:tr>
      <w:tr w:rsidR="00716D14">
        <w:trPr>
          <w:trHeight w:val="510"/>
          <w:jc w:val="center"/>
        </w:trPr>
        <w:tc>
          <w:tcPr>
            <w:tcW w:w="1611" w:type="dxa"/>
            <w:vMerge/>
          </w:tcPr>
          <w:p w:rsidR="00716D14" w:rsidRDefault="00716D1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noWrap/>
          </w:tcPr>
          <w:p w:rsidR="00716D14" w:rsidRDefault="001F4D8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★3.4</w:t>
            </w:r>
          </w:p>
        </w:tc>
        <w:tc>
          <w:tcPr>
            <w:tcW w:w="6854" w:type="dxa"/>
            <w:noWrap/>
          </w:tcPr>
          <w:p w:rsidR="00716D14" w:rsidRDefault="00041A5D" w:rsidP="00041A5D">
            <w:pPr>
              <w:spacing w:line="40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乙肝表面抗原和</w:t>
            </w:r>
            <w:r>
              <w:rPr>
                <w:rFonts w:hint="eastAsia"/>
                <w:color w:val="000000"/>
                <w:sz w:val="24"/>
              </w:rPr>
              <w:t>N</w:t>
            </w:r>
            <w:r>
              <w:rPr>
                <w:rFonts w:hint="eastAsia"/>
                <w:color w:val="000000"/>
                <w:sz w:val="24"/>
              </w:rPr>
              <w:t>端脑钠肽前体</w:t>
            </w:r>
            <w:r>
              <w:rPr>
                <w:rFonts w:ascii="宋体" w:hAnsi="宋体" w:cs="宋体" w:hint="eastAsia"/>
                <w:sz w:val="24"/>
              </w:rPr>
              <w:t>为安徽省带量试剂采购项目，</w:t>
            </w:r>
            <w:proofErr w:type="gramStart"/>
            <w:r w:rsidR="001F4D8F">
              <w:rPr>
                <w:rFonts w:ascii="宋体" w:hAnsi="宋体" w:cs="宋体" w:hint="eastAsia"/>
                <w:sz w:val="24"/>
              </w:rPr>
              <w:t>需投带量</w:t>
            </w:r>
            <w:proofErr w:type="gramEnd"/>
            <w:r w:rsidR="001F4D8F">
              <w:rPr>
                <w:rFonts w:ascii="宋体" w:hAnsi="宋体" w:cs="宋体" w:hint="eastAsia"/>
                <w:sz w:val="24"/>
              </w:rPr>
              <w:t>采购或价格联动产品，并提供承诺函。</w:t>
            </w:r>
          </w:p>
        </w:tc>
      </w:tr>
    </w:tbl>
    <w:p w:rsidR="00716D14" w:rsidRDefault="001F4D8F">
      <w:pPr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二、配套试剂要求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1455"/>
        <w:gridCol w:w="2446"/>
      </w:tblGrid>
      <w:tr w:rsidR="00716D14">
        <w:trPr>
          <w:jc w:val="center"/>
        </w:trPr>
        <w:tc>
          <w:tcPr>
            <w:tcW w:w="5419" w:type="dxa"/>
            <w:vAlign w:val="center"/>
          </w:tcPr>
          <w:p w:rsidR="00716D14" w:rsidRDefault="001F4D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1455" w:type="dxa"/>
            <w:vAlign w:val="center"/>
          </w:tcPr>
          <w:p w:rsidR="00716D14" w:rsidRDefault="001F4D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预计年使用量</w:t>
            </w:r>
            <w:r>
              <w:rPr>
                <w:rFonts w:hint="eastAsia"/>
                <w:b/>
                <w:sz w:val="24"/>
              </w:rPr>
              <w:t>（人份）</w:t>
            </w:r>
          </w:p>
        </w:tc>
        <w:tc>
          <w:tcPr>
            <w:tcW w:w="2446" w:type="dxa"/>
            <w:vAlign w:val="center"/>
          </w:tcPr>
          <w:p w:rsidR="00716D14" w:rsidRDefault="001F4D8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技术要求</w:t>
            </w: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丙氨酸氨基转移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 w:val="restart"/>
            <w:vAlign w:val="center"/>
          </w:tcPr>
          <w:p w:rsidR="00716D14" w:rsidRDefault="009D18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开展项目所需</w:t>
            </w:r>
            <w:r w:rsidR="001F4D8F">
              <w:rPr>
                <w:sz w:val="24"/>
              </w:rPr>
              <w:t>试剂</w:t>
            </w:r>
            <w:proofErr w:type="gramStart"/>
            <w:r w:rsidR="001F4D8F">
              <w:rPr>
                <w:sz w:val="24"/>
              </w:rPr>
              <w:t>批间差</w:t>
            </w:r>
            <w:proofErr w:type="gramEnd"/>
            <w:r w:rsidR="001F4D8F">
              <w:rPr>
                <w:sz w:val="24"/>
              </w:rPr>
              <w:t>小，新试剂或新批号试剂与旧试剂或旧批号试剂验证结果的偏倚</w:t>
            </w:r>
            <w:r w:rsidR="001F4D8F">
              <w:rPr>
                <w:sz w:val="24"/>
              </w:rPr>
              <w:t>&lt;1/2Tea</w:t>
            </w:r>
            <w:r w:rsidR="001F4D8F">
              <w:rPr>
                <w:sz w:val="24"/>
              </w:rPr>
              <w:t>。</w:t>
            </w:r>
          </w:p>
          <w:p w:rsidR="00716D14" w:rsidRDefault="00716D14">
            <w:pPr>
              <w:widowControl/>
              <w:jc w:val="center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天冬氨酸氨基转移酶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总胆红素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结合未结合胆红素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总蛋白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白蛋白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胆碱酯酶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尿素氮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肌</w:t>
            </w:r>
            <w:proofErr w:type="gramStart"/>
            <w:r>
              <w:rPr>
                <w:sz w:val="24"/>
              </w:rPr>
              <w:t>酐</w:t>
            </w:r>
            <w:proofErr w:type="gramEnd"/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041A5D">
        <w:trPr>
          <w:jc w:val="center"/>
        </w:trPr>
        <w:tc>
          <w:tcPr>
            <w:tcW w:w="5419" w:type="dxa"/>
          </w:tcPr>
          <w:p w:rsidR="00041A5D" w:rsidRDefault="00041A5D">
            <w:pPr>
              <w:rPr>
                <w:sz w:val="24"/>
              </w:rPr>
            </w:pPr>
            <w:r>
              <w:rPr>
                <w:sz w:val="24"/>
              </w:rPr>
              <w:t>尿酸</w:t>
            </w:r>
          </w:p>
        </w:tc>
        <w:tc>
          <w:tcPr>
            <w:tcW w:w="1455" w:type="dxa"/>
          </w:tcPr>
          <w:p w:rsidR="00041A5D" w:rsidRDefault="00041A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2446" w:type="dxa"/>
            <w:vMerge/>
          </w:tcPr>
          <w:p w:rsidR="00041A5D" w:rsidRDefault="00041A5D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钾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钠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氯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钙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13000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二氧化碳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13000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葡萄糖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5800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淀粉酶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5300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脂肪酶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血浆氨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850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丙肝抗体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艾滋抗体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梅毒抗体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β-</w:t>
            </w:r>
            <w:r>
              <w:rPr>
                <w:sz w:val="24"/>
              </w:rPr>
              <w:t>人绒毛膜促性腺激素测定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孕酮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乙肝表面抗原（须为带量采购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或价格联动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N</w:t>
            </w:r>
            <w:r>
              <w:rPr>
                <w:rFonts w:hint="eastAsia"/>
                <w:sz w:val="24"/>
              </w:rPr>
              <w:t>端脑钠肽前体（须为带量采购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或价格联动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  <w:tr w:rsidR="00716D14">
        <w:trPr>
          <w:jc w:val="center"/>
        </w:trPr>
        <w:tc>
          <w:tcPr>
            <w:tcW w:w="5419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高敏肌钙蛋白</w:t>
            </w:r>
            <w:r>
              <w:rPr>
                <w:rFonts w:hint="eastAsia"/>
                <w:sz w:val="24"/>
              </w:rPr>
              <w:t>I</w:t>
            </w:r>
          </w:p>
        </w:tc>
        <w:tc>
          <w:tcPr>
            <w:tcW w:w="1455" w:type="dxa"/>
          </w:tcPr>
          <w:p w:rsidR="00716D14" w:rsidRDefault="001F4D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2446" w:type="dxa"/>
            <w:vMerge/>
          </w:tcPr>
          <w:p w:rsidR="00716D14" w:rsidRDefault="00716D14">
            <w:pPr>
              <w:widowControl/>
              <w:jc w:val="left"/>
              <w:rPr>
                <w:sz w:val="24"/>
              </w:rPr>
            </w:pPr>
          </w:p>
        </w:tc>
      </w:tr>
    </w:tbl>
    <w:p w:rsidR="00716D14" w:rsidRDefault="001F4D8F">
      <w:pPr>
        <w:rPr>
          <w:rStyle w:val="NormalCharacter"/>
          <w:b/>
          <w:bCs/>
          <w:sz w:val="32"/>
          <w:szCs w:val="32"/>
        </w:rPr>
      </w:pPr>
      <w:r>
        <w:rPr>
          <w:rStyle w:val="NormalCharacter"/>
          <w:rFonts w:hint="eastAsia"/>
          <w:b/>
          <w:bCs/>
          <w:sz w:val="32"/>
          <w:szCs w:val="32"/>
        </w:rPr>
        <w:t>三、售后服务要求：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7959"/>
      </w:tblGrid>
      <w:tr w:rsidR="00716D14">
        <w:trPr>
          <w:jc w:val="center"/>
        </w:trPr>
        <w:tc>
          <w:tcPr>
            <w:tcW w:w="1363" w:type="dxa"/>
            <w:vAlign w:val="center"/>
          </w:tcPr>
          <w:p w:rsidR="00716D14" w:rsidRDefault="001F4D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959" w:type="dxa"/>
          </w:tcPr>
          <w:p w:rsidR="00716D14" w:rsidRDefault="001F4D8F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具体要求</w:t>
            </w:r>
          </w:p>
        </w:tc>
      </w:tr>
      <w:tr w:rsidR="00716D14">
        <w:trPr>
          <w:jc w:val="center"/>
        </w:trPr>
        <w:tc>
          <w:tcPr>
            <w:tcW w:w="1363" w:type="dxa"/>
            <w:vAlign w:val="center"/>
          </w:tcPr>
          <w:p w:rsidR="00716D14" w:rsidRDefault="001F4D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59" w:type="dxa"/>
          </w:tcPr>
          <w:p w:rsidR="00716D14" w:rsidRDefault="001F4D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提供全年原厂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小时技术支持，</w:t>
            </w:r>
            <w:r>
              <w:rPr>
                <w:rFonts w:ascii="宋体" w:hAnsi="宋体" w:cs="宋体" w:hint="eastAsia"/>
                <w:kern w:val="0"/>
                <w:sz w:val="24"/>
              </w:rPr>
              <w:t>软件系统终身免费升级。</w:t>
            </w:r>
            <w:r>
              <w:rPr>
                <w:sz w:val="24"/>
              </w:rPr>
              <w:t>每周仪器维护保养服务。</w:t>
            </w:r>
            <w:r>
              <w:rPr>
                <w:rFonts w:ascii="宋体" w:hAnsi="宋体" w:cs="宋体" w:hint="eastAsia"/>
                <w:kern w:val="0"/>
                <w:sz w:val="24"/>
              </w:rPr>
              <w:t>（提供承诺函）。</w:t>
            </w:r>
          </w:p>
        </w:tc>
      </w:tr>
      <w:tr w:rsidR="00716D14">
        <w:trPr>
          <w:jc w:val="center"/>
        </w:trPr>
        <w:tc>
          <w:tcPr>
            <w:tcW w:w="1363" w:type="dxa"/>
            <w:vAlign w:val="center"/>
          </w:tcPr>
          <w:p w:rsidR="00716D14" w:rsidRDefault="001F4D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59" w:type="dxa"/>
          </w:tcPr>
          <w:p w:rsidR="00716D14" w:rsidRDefault="001F4D8F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质保期外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易损件需报价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，如不报价视为免费赠送。质保期外维修、检测、升级等均免上门服务费（提供承诺函）。</w:t>
            </w:r>
          </w:p>
        </w:tc>
      </w:tr>
      <w:tr w:rsidR="00716D14">
        <w:trPr>
          <w:jc w:val="center"/>
        </w:trPr>
        <w:tc>
          <w:tcPr>
            <w:tcW w:w="1363" w:type="dxa"/>
            <w:vAlign w:val="center"/>
          </w:tcPr>
          <w:p w:rsidR="00716D14" w:rsidRDefault="001F4D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959" w:type="dxa"/>
          </w:tcPr>
          <w:p w:rsidR="00716D14" w:rsidRDefault="001F4D8F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响应时间</w:t>
            </w:r>
            <w:r>
              <w:rPr>
                <w:rFonts w:ascii="宋体" w:hAnsi="宋体" w:cs="宋体"/>
                <w:kern w:val="0"/>
                <w:sz w:val="24"/>
              </w:rPr>
              <w:t>0.5</w:t>
            </w:r>
            <w:r>
              <w:rPr>
                <w:rFonts w:ascii="宋体" w:hAnsi="宋体" w:cs="宋体" w:hint="eastAsia"/>
                <w:kern w:val="0"/>
                <w:sz w:val="24"/>
              </w:rPr>
              <w:t>小时，接到维护电话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小时抵达现场，如需返厂维修，可提供备用机（提供承诺函）。</w:t>
            </w:r>
          </w:p>
        </w:tc>
      </w:tr>
      <w:tr w:rsidR="00716D14">
        <w:trPr>
          <w:jc w:val="center"/>
        </w:trPr>
        <w:tc>
          <w:tcPr>
            <w:tcW w:w="1363" w:type="dxa"/>
            <w:vAlign w:val="center"/>
          </w:tcPr>
          <w:p w:rsidR="00716D14" w:rsidRDefault="009A2DD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 w:rsidR="001F4D8F">
              <w:rPr>
                <w:rFonts w:hint="eastAsia"/>
                <w:sz w:val="24"/>
              </w:rPr>
              <w:t>4</w:t>
            </w:r>
          </w:p>
        </w:tc>
        <w:tc>
          <w:tcPr>
            <w:tcW w:w="7959" w:type="dxa"/>
          </w:tcPr>
          <w:p w:rsidR="00716D14" w:rsidRDefault="001F4D8F" w:rsidP="000702A1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按要求免费提供仪器投入使用前性能验证所需的所有试剂</w:t>
            </w:r>
            <w:r w:rsidR="000702A1">
              <w:rPr>
                <w:rFonts w:ascii="宋体" w:hAnsi="宋体" w:cs="宋体"/>
                <w:kern w:val="0"/>
                <w:sz w:val="24"/>
              </w:rPr>
              <w:t>并承诺通过性能验证方案</w:t>
            </w:r>
            <w:r>
              <w:rPr>
                <w:rFonts w:ascii="宋体" w:hAnsi="宋体" w:cs="宋体"/>
                <w:kern w:val="0"/>
                <w:sz w:val="24"/>
              </w:rPr>
              <w:t>，性能验证包括</w:t>
            </w:r>
            <w:r w:rsidR="009A2DD6">
              <w:rPr>
                <w:rFonts w:ascii="宋体" w:hAnsi="宋体" w:cs="宋体"/>
                <w:kern w:val="0"/>
                <w:sz w:val="24"/>
              </w:rPr>
              <w:t>正确度</w:t>
            </w:r>
            <w:r w:rsidR="009A2DD6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0702A1">
              <w:rPr>
                <w:rFonts w:ascii="宋体" w:hAnsi="宋体" w:cs="宋体"/>
                <w:kern w:val="0"/>
                <w:sz w:val="24"/>
              </w:rPr>
              <w:t>精密度</w:t>
            </w:r>
            <w:r>
              <w:rPr>
                <w:rFonts w:ascii="宋体" w:hAnsi="宋体" w:cs="宋体"/>
                <w:kern w:val="0"/>
                <w:sz w:val="24"/>
              </w:rPr>
              <w:t>，可报告范围，生物参考区间验证</w:t>
            </w:r>
            <w:r w:rsidR="000702A1">
              <w:rPr>
                <w:rFonts w:ascii="宋体" w:hAnsi="宋体" w:cs="宋体"/>
                <w:kern w:val="0"/>
                <w:sz w:val="24"/>
              </w:rPr>
              <w:t>及实验室比对</w:t>
            </w:r>
            <w:r>
              <w:rPr>
                <w:rFonts w:ascii="宋体" w:hAnsi="宋体" w:cs="宋体"/>
                <w:kern w:val="0"/>
                <w:sz w:val="24"/>
              </w:rPr>
              <w:t>等</w:t>
            </w:r>
            <w:r w:rsidR="000702A1">
              <w:rPr>
                <w:rFonts w:ascii="宋体" w:hAnsi="宋体" w:cs="宋体" w:hint="eastAsia"/>
                <w:kern w:val="0"/>
                <w:sz w:val="24"/>
              </w:rPr>
              <w:t>（提供承诺函）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</w:tc>
      </w:tr>
      <w:tr w:rsidR="00716D14">
        <w:trPr>
          <w:jc w:val="center"/>
        </w:trPr>
        <w:tc>
          <w:tcPr>
            <w:tcW w:w="1363" w:type="dxa"/>
            <w:vAlign w:val="center"/>
          </w:tcPr>
          <w:p w:rsidR="00716D14" w:rsidRDefault="001F4D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959" w:type="dxa"/>
          </w:tcPr>
          <w:p w:rsidR="00716D14" w:rsidRDefault="001F4D8F">
            <w:pPr>
              <w:rPr>
                <w:sz w:val="24"/>
              </w:rPr>
            </w:pPr>
            <w:r>
              <w:rPr>
                <w:sz w:val="24"/>
              </w:rPr>
              <w:t>免费提供仪器使用过程中所需配套加样头</w:t>
            </w:r>
            <w:r>
              <w:rPr>
                <w:rFonts w:hint="eastAsia"/>
                <w:sz w:val="24"/>
              </w:rPr>
              <w:t>，样品杯，各种洗液，</w:t>
            </w:r>
            <w:r>
              <w:rPr>
                <w:sz w:val="24"/>
              </w:rPr>
              <w:t>信号试剂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参比液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干燥剂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保湿剂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易</w:t>
            </w:r>
            <w:r>
              <w:rPr>
                <w:rFonts w:hint="eastAsia"/>
                <w:sz w:val="24"/>
              </w:rPr>
              <w:t>耗</w:t>
            </w:r>
            <w:r>
              <w:rPr>
                <w:sz w:val="24"/>
              </w:rPr>
              <w:t>品、高值配件</w:t>
            </w:r>
            <w:r>
              <w:rPr>
                <w:rFonts w:hint="eastAsia"/>
                <w:sz w:val="24"/>
              </w:rPr>
              <w:t>（比色杯，样品针，孵育盘皮带、</w:t>
            </w:r>
            <w:proofErr w:type="gramStart"/>
            <w:r>
              <w:rPr>
                <w:rFonts w:hint="eastAsia"/>
                <w:sz w:val="24"/>
              </w:rPr>
              <w:t>推片尺</w:t>
            </w:r>
            <w:proofErr w:type="gramEnd"/>
            <w:r>
              <w:rPr>
                <w:rFonts w:hint="eastAsia"/>
                <w:sz w:val="24"/>
              </w:rPr>
              <w:t>、灯泡等）</w:t>
            </w:r>
            <w:r w:rsidR="009A2DD6">
              <w:rPr>
                <w:rFonts w:hint="eastAsia"/>
                <w:sz w:val="24"/>
              </w:rPr>
              <w:t>，</w:t>
            </w:r>
            <w:r w:rsidR="009A2DD6">
              <w:rPr>
                <w:sz w:val="24"/>
              </w:rPr>
              <w:t>免费提供试剂定标</w:t>
            </w:r>
            <w:r w:rsidR="009A2DD6">
              <w:rPr>
                <w:rFonts w:hint="eastAsia"/>
                <w:sz w:val="24"/>
              </w:rPr>
              <w:t>，</w:t>
            </w:r>
            <w:r w:rsidR="009A2DD6">
              <w:rPr>
                <w:rFonts w:ascii="宋体" w:hAnsi="宋体" w:cs="宋体"/>
                <w:kern w:val="0"/>
                <w:sz w:val="24"/>
              </w:rPr>
              <w:t>校准品，质控品</w:t>
            </w:r>
            <w:r>
              <w:rPr>
                <w:sz w:val="24"/>
              </w:rPr>
              <w:t>。</w:t>
            </w:r>
          </w:p>
        </w:tc>
      </w:tr>
      <w:tr w:rsidR="00716D14">
        <w:trPr>
          <w:jc w:val="center"/>
        </w:trPr>
        <w:tc>
          <w:tcPr>
            <w:tcW w:w="1363" w:type="dxa"/>
            <w:vAlign w:val="center"/>
          </w:tcPr>
          <w:p w:rsidR="00716D14" w:rsidRDefault="001F4D8F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959" w:type="dxa"/>
          </w:tcPr>
          <w:p w:rsidR="00716D14" w:rsidRDefault="001F4D8F">
            <w:pPr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合作期内免费提供</w:t>
            </w:r>
            <w:r w:rsidR="00935694">
              <w:rPr>
                <w:rFonts w:ascii="宋体" w:hAnsi="宋体" w:cs="宋体" w:hint="eastAsia"/>
                <w:kern w:val="0"/>
                <w:sz w:val="24"/>
              </w:rPr>
              <w:t>国际知名室内</w:t>
            </w:r>
            <w:r>
              <w:rPr>
                <w:rFonts w:ascii="宋体" w:hAnsi="宋体" w:cs="宋体" w:hint="eastAsia"/>
                <w:kern w:val="0"/>
                <w:sz w:val="24"/>
              </w:rPr>
              <w:t>质控品（</w:t>
            </w:r>
            <w:r>
              <w:rPr>
                <w:rFonts w:hint="eastAsia"/>
                <w:sz w:val="24"/>
              </w:rPr>
              <w:t>提供承诺函）。</w:t>
            </w:r>
          </w:p>
        </w:tc>
      </w:tr>
      <w:tr w:rsidR="00716D14">
        <w:trPr>
          <w:jc w:val="center"/>
        </w:trPr>
        <w:tc>
          <w:tcPr>
            <w:tcW w:w="1363" w:type="dxa"/>
            <w:vAlign w:val="center"/>
          </w:tcPr>
          <w:p w:rsidR="00716D14" w:rsidRDefault="001F4D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959" w:type="dxa"/>
          </w:tcPr>
          <w:p w:rsidR="00716D14" w:rsidRDefault="001F4D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每年</w:t>
            </w:r>
            <w:r>
              <w:rPr>
                <w:rFonts w:ascii="宋体" w:hAnsi="宋体" w:cs="宋体" w:hint="eastAsia"/>
                <w:kern w:val="0"/>
                <w:sz w:val="24"/>
              </w:rPr>
              <w:t>开展</w:t>
            </w:r>
            <w:r>
              <w:rPr>
                <w:rFonts w:ascii="宋体" w:hAnsi="宋体" w:cs="宋体"/>
                <w:kern w:val="0"/>
                <w:sz w:val="24"/>
              </w:rPr>
              <w:t>至少一次</w:t>
            </w:r>
            <w:r>
              <w:rPr>
                <w:rFonts w:ascii="宋体" w:hAnsi="宋体" w:cs="宋体" w:hint="eastAsia"/>
                <w:kern w:val="0"/>
                <w:sz w:val="24"/>
              </w:rPr>
              <w:t>免费</w:t>
            </w:r>
            <w:r>
              <w:rPr>
                <w:rFonts w:ascii="宋体" w:hAnsi="宋体" w:cs="宋体"/>
                <w:kern w:val="0"/>
                <w:sz w:val="24"/>
              </w:rPr>
              <w:t>校准，</w:t>
            </w:r>
            <w:r>
              <w:rPr>
                <w:rFonts w:ascii="宋体" w:hAnsi="宋体" w:cs="宋体" w:hint="eastAsia"/>
                <w:kern w:val="0"/>
                <w:sz w:val="24"/>
              </w:rPr>
              <w:t>提供校准报告，</w:t>
            </w:r>
            <w:r>
              <w:rPr>
                <w:rFonts w:hint="eastAsia"/>
                <w:sz w:val="24"/>
              </w:rPr>
              <w:t>安装后完成性能验证</w:t>
            </w:r>
            <w:r>
              <w:rPr>
                <w:rFonts w:ascii="宋体" w:hAnsi="宋体" w:cs="宋体" w:hint="eastAsia"/>
                <w:kern w:val="0"/>
                <w:sz w:val="24"/>
              </w:rPr>
              <w:t>（提供承诺函）。</w:t>
            </w:r>
          </w:p>
        </w:tc>
      </w:tr>
      <w:tr w:rsidR="00716D14">
        <w:trPr>
          <w:jc w:val="center"/>
        </w:trPr>
        <w:tc>
          <w:tcPr>
            <w:tcW w:w="1363" w:type="dxa"/>
            <w:vAlign w:val="center"/>
          </w:tcPr>
          <w:p w:rsidR="00716D14" w:rsidRDefault="001F4D8F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959" w:type="dxa"/>
          </w:tcPr>
          <w:p w:rsidR="00716D14" w:rsidRDefault="001F4D8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投标人承担与院方</w:t>
            </w:r>
            <w:r>
              <w:rPr>
                <w:sz w:val="24"/>
              </w:rPr>
              <w:t>LIS</w:t>
            </w:r>
            <w:r>
              <w:rPr>
                <w:rFonts w:hint="eastAsia"/>
                <w:sz w:val="24"/>
              </w:rPr>
              <w:t>对接、安装调试的费用并负责协助完成联接工作（提供承诺函）。</w:t>
            </w:r>
          </w:p>
        </w:tc>
      </w:tr>
    </w:tbl>
    <w:p w:rsidR="00716D14" w:rsidRDefault="00716D14">
      <w:pPr>
        <w:spacing w:line="276" w:lineRule="auto"/>
        <w:rPr>
          <w:rFonts w:ascii="宋体" w:hAnsi="宋体" w:cs="宋体"/>
          <w:sz w:val="24"/>
        </w:rPr>
      </w:pPr>
    </w:p>
    <w:p w:rsidR="00716D14" w:rsidRDefault="00716D14"/>
    <w:sectPr w:rsidR="0071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B5" w:rsidRDefault="00495CB5" w:rsidP="0047040A">
      <w:r>
        <w:separator/>
      </w:r>
    </w:p>
  </w:endnote>
  <w:endnote w:type="continuationSeparator" w:id="0">
    <w:p w:rsidR="00495CB5" w:rsidRDefault="00495CB5" w:rsidP="0047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B5" w:rsidRDefault="00495CB5" w:rsidP="0047040A">
      <w:r>
        <w:separator/>
      </w:r>
    </w:p>
  </w:footnote>
  <w:footnote w:type="continuationSeparator" w:id="0">
    <w:p w:rsidR="00495CB5" w:rsidRDefault="00495CB5" w:rsidP="0047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ZDEwZDVkYzdiNzFhOGI5ZmRjMmNkZDIzYjRmODQifQ=="/>
  </w:docVars>
  <w:rsids>
    <w:rsidRoot w:val="00716D14"/>
    <w:rsid w:val="00041A5D"/>
    <w:rsid w:val="000702A1"/>
    <w:rsid w:val="001A7020"/>
    <w:rsid w:val="001F4D8F"/>
    <w:rsid w:val="0047040A"/>
    <w:rsid w:val="00495CB5"/>
    <w:rsid w:val="00537F35"/>
    <w:rsid w:val="006C5007"/>
    <w:rsid w:val="00716D14"/>
    <w:rsid w:val="00935694"/>
    <w:rsid w:val="009A2DD6"/>
    <w:rsid w:val="009D18B6"/>
    <w:rsid w:val="00C62E60"/>
    <w:rsid w:val="00FD4D69"/>
    <w:rsid w:val="041E6FF4"/>
    <w:rsid w:val="12853886"/>
    <w:rsid w:val="18A94431"/>
    <w:rsid w:val="1B0A2432"/>
    <w:rsid w:val="26B95FEE"/>
    <w:rsid w:val="2EBF00B3"/>
    <w:rsid w:val="2EF959D3"/>
    <w:rsid w:val="32714DF0"/>
    <w:rsid w:val="355359F9"/>
    <w:rsid w:val="37B7226F"/>
    <w:rsid w:val="37C369C1"/>
    <w:rsid w:val="3D76438A"/>
    <w:rsid w:val="3DFF04CC"/>
    <w:rsid w:val="45576E3F"/>
    <w:rsid w:val="4B784D60"/>
    <w:rsid w:val="4B810772"/>
    <w:rsid w:val="50F46649"/>
    <w:rsid w:val="513A16A7"/>
    <w:rsid w:val="53982AFD"/>
    <w:rsid w:val="5A6B0E63"/>
    <w:rsid w:val="5A7F4A16"/>
    <w:rsid w:val="5C750AE5"/>
    <w:rsid w:val="60792235"/>
    <w:rsid w:val="64766551"/>
    <w:rsid w:val="65476131"/>
    <w:rsid w:val="6DB8406F"/>
    <w:rsid w:val="6F1277AF"/>
    <w:rsid w:val="6F8A5598"/>
    <w:rsid w:val="713A74D5"/>
    <w:rsid w:val="7E4B0F4C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Default"/>
    <w:next w:val="Default"/>
    <w:qFormat/>
    <w:pPr>
      <w:spacing w:before="340" w:after="331"/>
      <w:jc w:val="center"/>
      <w:outlineLvl w:val="0"/>
    </w:pPr>
    <w:rPr>
      <w:rFonts w:eastAsia="宋体"/>
      <w:b/>
      <w:sz w:val="32"/>
      <w:szCs w:val="24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</w:rPr>
  </w:style>
  <w:style w:type="paragraph" w:customStyle="1" w:styleId="Char">
    <w:name w:val="Char"/>
    <w:basedOn w:val="a"/>
    <w:qFormat/>
  </w:style>
  <w:style w:type="character" w:customStyle="1" w:styleId="NormalCharacter">
    <w:name w:val="NormalCharacter"/>
    <w:qFormat/>
  </w:style>
  <w:style w:type="paragraph" w:styleId="a3">
    <w:name w:val="header"/>
    <w:basedOn w:val="a"/>
    <w:link w:val="Char0"/>
    <w:rsid w:val="00470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7040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1"/>
    <w:rsid w:val="00470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7040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Default"/>
    <w:next w:val="Default"/>
    <w:qFormat/>
    <w:pPr>
      <w:spacing w:before="340" w:after="331"/>
      <w:jc w:val="center"/>
      <w:outlineLvl w:val="0"/>
    </w:pPr>
    <w:rPr>
      <w:rFonts w:eastAsia="宋体"/>
      <w:b/>
      <w:sz w:val="32"/>
      <w:szCs w:val="24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</w:rPr>
  </w:style>
  <w:style w:type="paragraph" w:customStyle="1" w:styleId="Char">
    <w:name w:val="Char"/>
    <w:basedOn w:val="a"/>
    <w:qFormat/>
  </w:style>
  <w:style w:type="character" w:customStyle="1" w:styleId="NormalCharacter">
    <w:name w:val="NormalCharacter"/>
    <w:qFormat/>
  </w:style>
  <w:style w:type="paragraph" w:styleId="a3">
    <w:name w:val="header"/>
    <w:basedOn w:val="a"/>
    <w:link w:val="Char0"/>
    <w:rsid w:val="00470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7040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1"/>
    <w:rsid w:val="00470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704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12</cp:revision>
  <dcterms:created xsi:type="dcterms:W3CDTF">2023-02-27T07:21:00Z</dcterms:created>
  <dcterms:modified xsi:type="dcterms:W3CDTF">2023-09-20T07:46:00Z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EA71DF36D9DC4FDE92B6D4D2A8E6E751</vt:lpwstr>
  </property>
</Properties>
</file>