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5"/>
        <w:ind w:left="201" w:right="200"/>
        <w:jc w:val="center"/>
        <w:rPr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计量检测服务项目</w:t>
      </w:r>
    </w:p>
    <w:p>
      <w:pPr>
        <w:pStyle w:val="12"/>
        <w:numPr>
          <w:ilvl w:val="0"/>
          <w:numId w:val="1"/>
        </w:numPr>
        <w:spacing w:before="255"/>
        <w:ind w:right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项目名称</w:t>
      </w:r>
      <w:r>
        <w:rPr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医疗设备计量检测</w:t>
      </w:r>
    </w:p>
    <w:p>
      <w:pPr>
        <w:pStyle w:val="12"/>
        <w:numPr>
          <w:ilvl w:val="0"/>
          <w:numId w:val="1"/>
        </w:numPr>
        <w:spacing w:before="255"/>
        <w:ind w:right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服务期限：</w:t>
      </w:r>
      <w:r>
        <w:rPr>
          <w:rFonts w:hint="eastAsia"/>
          <w:sz w:val="24"/>
          <w:szCs w:val="24"/>
          <w:lang w:val="en-US" w:eastAsia="zh-CN"/>
        </w:rPr>
        <w:t>3年</w:t>
      </w:r>
    </w:p>
    <w:p>
      <w:pPr>
        <w:pStyle w:val="12"/>
        <w:numPr>
          <w:ilvl w:val="0"/>
          <w:numId w:val="1"/>
        </w:numPr>
        <w:spacing w:before="255"/>
        <w:ind w:right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服务范围：全院计量类设备（包括强检和非强检仪器）</w:t>
      </w:r>
    </w:p>
    <w:p>
      <w:pPr>
        <w:pStyle w:val="12"/>
        <w:numPr>
          <w:ilvl w:val="0"/>
          <w:numId w:val="1"/>
        </w:numPr>
        <w:spacing w:before="255"/>
        <w:ind w:right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服务内容：完成全院医疗设备的计量检测服务，包括但不限于：微量注射泵、输液泵、呼吸机、麻醉机、婴儿培养箱、婴儿辐射保暖台、除颤仪、呼吸吸入器、医用吸引器、血液透析机、医用彩色多普勒超声诊断仪、高频电刀、温湿度仪、离心机、培养箱、酶标仪等。</w:t>
      </w:r>
    </w:p>
    <w:p>
      <w:pPr>
        <w:pStyle w:val="12"/>
        <w:numPr>
          <w:ilvl w:val="0"/>
          <w:numId w:val="1"/>
        </w:numPr>
        <w:spacing w:before="255"/>
        <w:ind w:right="2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资质要求</w:t>
      </w:r>
    </w:p>
    <w:p>
      <w:pPr>
        <w:pStyle w:val="12"/>
        <w:spacing w:before="255"/>
        <w:ind w:left="681" w:right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</w:t>
      </w:r>
      <w:r>
        <w:rPr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须为国家法定计量检定机构或依法授权的计量技术机构（投标文件中须提供计量授权证书扫描件）；</w:t>
      </w:r>
    </w:p>
    <w:p>
      <w:pPr>
        <w:pStyle w:val="12"/>
        <w:spacing w:before="255"/>
        <w:ind w:left="681" w:right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具有有效的计量认证（</w:t>
      </w:r>
      <w:r>
        <w:rPr>
          <w:sz w:val="21"/>
          <w:szCs w:val="21"/>
          <w:lang w:eastAsia="zh-CN"/>
        </w:rPr>
        <w:t>CMA</w:t>
      </w:r>
      <w:r>
        <w:rPr>
          <w:rFonts w:hint="eastAsia"/>
          <w:sz w:val="21"/>
          <w:szCs w:val="21"/>
          <w:lang w:eastAsia="zh-CN"/>
        </w:rPr>
        <w:t>）证书；</w:t>
      </w:r>
    </w:p>
    <w:p>
      <w:pPr>
        <w:pStyle w:val="12"/>
        <w:spacing w:before="255"/>
        <w:ind w:left="681" w:right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</w:t>
      </w:r>
      <w:r>
        <w:rPr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  <w:lang w:eastAsia="zh-CN"/>
        </w:rPr>
        <w:t>具有中国合格评定国家认可委员会颁发的实验室认可资质（</w:t>
      </w:r>
      <w:r>
        <w:rPr>
          <w:sz w:val="21"/>
          <w:szCs w:val="21"/>
          <w:lang w:eastAsia="zh-CN"/>
        </w:rPr>
        <w:t>CNAS</w:t>
      </w:r>
      <w:r>
        <w:rPr>
          <w:rFonts w:hint="eastAsia"/>
          <w:sz w:val="21"/>
          <w:szCs w:val="21"/>
          <w:lang w:eastAsia="zh-CN"/>
        </w:rPr>
        <w:t>资质）。</w:t>
      </w:r>
    </w:p>
    <w:p>
      <w:pPr>
        <w:spacing w:before="255"/>
        <w:ind w:right="200" w:firstLine="240" w:firstLineChars="10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七、服务要求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167" w:type="dxa"/>
            <w:vAlign w:val="center"/>
          </w:tcPr>
          <w:p>
            <w:pPr>
              <w:spacing w:before="255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ind w:left="103"/>
              <w:rPr>
                <w:spacing w:val="-18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投标人应具备履行合同所需的财务、人员及独立承担民事责任</w:t>
            </w:r>
            <w:r>
              <w:rPr>
                <w:spacing w:val="-7"/>
                <w:sz w:val="24"/>
                <w:szCs w:val="24"/>
                <w:lang w:eastAsia="zh-CN"/>
              </w:rPr>
              <w:t>和计量器具检测的能力；所有检测技术人员持证上岗，对经检</w:t>
            </w:r>
            <w:r>
              <w:rPr>
                <w:spacing w:val="-13"/>
                <w:sz w:val="24"/>
                <w:szCs w:val="24"/>
                <w:lang w:eastAsia="zh-CN"/>
              </w:rPr>
              <w:t>测过的计量器具数据负责，严格按照国家、部门或地方检定规</w:t>
            </w:r>
            <w:r>
              <w:rPr>
                <w:spacing w:val="-12"/>
                <w:sz w:val="24"/>
                <w:szCs w:val="24"/>
                <w:lang w:eastAsia="zh-CN"/>
              </w:rPr>
              <w:t>程、校准规范及相关法律、法规和实验室管理规范要求开展计量检测，并出具检定/校准证书，同时按照要求提供并填</w:t>
            </w:r>
            <w:r>
              <w:rPr>
                <w:spacing w:val="-18"/>
                <w:sz w:val="24"/>
                <w:szCs w:val="24"/>
                <w:lang w:eastAsia="zh-CN"/>
              </w:rPr>
              <w:t>写</w:t>
            </w:r>
            <w:r>
              <w:rPr>
                <w:rFonts w:hint="eastAsia"/>
                <w:spacing w:val="-18"/>
                <w:sz w:val="24"/>
                <w:szCs w:val="24"/>
                <w:lang w:eastAsia="zh-CN"/>
              </w:rPr>
              <w:t>医院</w:t>
            </w:r>
            <w:r>
              <w:rPr>
                <w:spacing w:val="-18"/>
                <w:sz w:val="24"/>
                <w:szCs w:val="24"/>
                <w:lang w:eastAsia="zh-CN"/>
              </w:rPr>
              <w:t>计量器具质量检测原始记录表。</w:t>
            </w:r>
          </w:p>
          <w:p>
            <w:pPr>
              <w:pStyle w:val="13"/>
              <w:spacing w:line="360" w:lineRule="auto"/>
              <w:ind w:left="10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（含本院强制检定的计量器具项目义务）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该项目计量器具名称及数量见附件，</w:t>
            </w:r>
            <w:r>
              <w:rPr>
                <w:spacing w:val="-5"/>
                <w:sz w:val="24"/>
                <w:szCs w:val="24"/>
                <w:lang w:eastAsia="zh-CN"/>
              </w:rPr>
              <w:t>结算以实际检测数量计算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投标人提供该项目每类计量器具（附件）单台检定（或校准） </w:t>
            </w:r>
            <w:r>
              <w:rPr>
                <w:spacing w:val="-11"/>
                <w:sz w:val="24"/>
                <w:szCs w:val="24"/>
                <w:lang w:eastAsia="zh-CN"/>
              </w:rPr>
              <w:t>价格和每类计量器具的总价及整个项目的总价。检定</w:t>
            </w:r>
            <w:r>
              <w:rPr>
                <w:sz w:val="24"/>
                <w:szCs w:val="24"/>
                <w:lang w:eastAsia="zh-CN"/>
              </w:rPr>
              <w:t>（或校准）收费中包括检定（或校准）证书费，丢失证书要求补发的,经原检定机构核定后予以补发</w:t>
            </w:r>
            <w:r>
              <w:rPr>
                <w:rFonts w:hint="eastAsia"/>
                <w:sz w:val="24"/>
                <w:szCs w:val="24"/>
                <w:lang w:eastAsia="zh-CN"/>
              </w:rPr>
              <w:t>。提供检测证书电子版。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未列入附件表中的其他计量器具的检定，参照最新安徽省省级计量检定收费标准和优惠幅度标准执行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ind w:left="10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投标人需安排相关人员同医院对接，对大型设备或符合现场检</w:t>
            </w:r>
            <w:r>
              <w:rPr>
                <w:spacing w:val="-6"/>
                <w:sz w:val="24"/>
                <w:szCs w:val="24"/>
                <w:lang w:eastAsia="zh-CN"/>
              </w:rPr>
              <w:t>测要求的计量器具应安排人员现场检测；对需带回实验室检测的计量器具，如无不可抗拒原因须在十天内检测完毕并送回；对需要修理的计量器具，修理时间由双方协商,不受检定期限限制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提供附件表中其他非强制检定医用计量器具目录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被检单位的计量器具在临床使用中发生不良事件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  <w:lang w:eastAsia="zh-CN"/>
              </w:rPr>
              <w:t>诊断</w:t>
            </w:r>
            <w:r>
              <w:rPr>
                <w:spacing w:val="-12"/>
                <w:sz w:val="24"/>
                <w:szCs w:val="24"/>
                <w:lang w:eastAsia="zh-CN"/>
              </w:rPr>
              <w:t>不准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或其他特殊情况</w:t>
            </w:r>
            <w:r>
              <w:rPr>
                <w:spacing w:val="-12"/>
                <w:sz w:val="24"/>
                <w:szCs w:val="24"/>
                <w:lang w:eastAsia="zh-CN"/>
              </w:rPr>
              <w:t xml:space="preserve">，投标人应在 </w:t>
            </w:r>
            <w:r>
              <w:rPr>
                <w:sz w:val="24"/>
                <w:szCs w:val="24"/>
                <w:lang w:eastAsia="zh-CN"/>
              </w:rPr>
              <w:t>2</w:t>
            </w:r>
            <w:r>
              <w:rPr>
                <w:spacing w:val="-12"/>
                <w:sz w:val="24"/>
                <w:szCs w:val="24"/>
                <w:lang w:eastAsia="zh-CN"/>
              </w:rPr>
              <w:t xml:space="preserve"> 小时内到达现场，配合做好相关工作。投标人须提供应急方案。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7" w:type="dxa"/>
            <w:vAlign w:val="center"/>
          </w:tcPr>
          <w:p>
            <w:pPr>
              <w:spacing w:before="255" w:line="360" w:lineRule="auto"/>
              <w:ind w:right="20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须提供本次招标所有检测项目的能力资质证明材料,提供检定、校准能力表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ind w:left="103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急救生命支持类计量器具检定、校准重要参数参照相应计量检</w:t>
            </w:r>
            <w:r>
              <w:rPr>
                <w:spacing w:val="-9"/>
                <w:sz w:val="24"/>
                <w:szCs w:val="24"/>
                <w:lang w:eastAsia="zh-CN"/>
              </w:rPr>
              <w:t>定规程、校准规范，必须覆盖，提供相关证明材料。其中，输</w:t>
            </w:r>
            <w:r>
              <w:rPr>
                <w:spacing w:val="-17"/>
                <w:sz w:val="24"/>
                <w:szCs w:val="24"/>
                <w:lang w:eastAsia="zh-CN"/>
              </w:rPr>
              <w:t>液泵</w:t>
            </w:r>
            <w:r>
              <w:rPr>
                <w:sz w:val="24"/>
                <w:szCs w:val="24"/>
                <w:lang w:eastAsia="zh-CN"/>
              </w:rPr>
              <w:t>（注射泵</w:t>
            </w:r>
            <w:r>
              <w:rPr>
                <w:spacing w:val="-24"/>
                <w:sz w:val="24"/>
                <w:szCs w:val="24"/>
                <w:lang w:eastAsia="zh-CN"/>
              </w:rPr>
              <w:t>）</w:t>
            </w:r>
            <w:r>
              <w:rPr>
                <w:spacing w:val="-5"/>
                <w:sz w:val="24"/>
                <w:szCs w:val="24"/>
                <w:lang w:eastAsia="zh-CN"/>
              </w:rPr>
              <w:t>检测需涵盖流量、阻塞压力等重要参数；呼吸</w:t>
            </w:r>
            <w:r>
              <w:rPr>
                <w:spacing w:val="-11"/>
                <w:sz w:val="24"/>
                <w:szCs w:val="24"/>
                <w:lang w:eastAsia="zh-CN"/>
              </w:rPr>
              <w:t>机检测需涵盖潮气量、呼吸频率、气道峰压、呼气末正压、呼</w:t>
            </w:r>
            <w:r>
              <w:rPr>
                <w:spacing w:val="-14"/>
                <w:sz w:val="24"/>
                <w:szCs w:val="24"/>
                <w:lang w:eastAsia="zh-CN"/>
              </w:rPr>
              <w:t>吸氧浓度等重要参数；除颤仪检测需涵盖释放能量、充电时间等重要参数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 w:right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投标方需提供设备检测规程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投标单位需为我院成立专门项目组，提供项目组人员名字及人员资质证书和社保等。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before="255"/>
              <w:ind w:right="20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167" w:type="dxa"/>
            <w:vAlign w:val="center"/>
          </w:tcPr>
          <w:p>
            <w:pPr>
              <w:pStyle w:val="13"/>
              <w:spacing w:line="360" w:lineRule="auto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投标单位派出的项目组需服从院方管理，如不服从院方管理，院方有权要求撤换；如影响院方正常医疗工作秩序，造成不良后果的，院方有权给予1-2万元违约金处罚（提供承诺函）。</w:t>
            </w:r>
          </w:p>
        </w:tc>
      </w:tr>
    </w:tbl>
    <w:p>
      <w:pPr>
        <w:widowControl/>
        <w:autoSpaceDE/>
        <w:autoSpaceDN/>
        <w:rPr>
          <w:rFonts w:hint="eastAsia"/>
          <w:sz w:val="24"/>
          <w:szCs w:val="24"/>
          <w:lang w:eastAsia="zh-CN"/>
        </w:rPr>
      </w:pPr>
    </w:p>
    <w:p>
      <w:pPr>
        <w:widowControl/>
        <w:autoSpaceDE/>
        <w:autoSpaceDN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附件一：强检设备清单</w:t>
      </w:r>
    </w:p>
    <w:p>
      <w:pPr>
        <w:spacing w:before="255"/>
        <w:ind w:right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附件二：非强检设备清单</w:t>
      </w:r>
      <w:bookmarkStart w:id="0" w:name="_GoBack"/>
      <w:bookmarkEnd w:id="0"/>
    </w:p>
    <w:p>
      <w:pPr>
        <w:spacing w:before="255"/>
        <w:ind w:right="2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付款方式:</w:t>
      </w:r>
      <w:r>
        <w:rPr>
          <w:rFonts w:hint="eastAsia"/>
          <w:lang w:val="en-US" w:eastAsia="zh-CN"/>
        </w:rPr>
        <w:t>检测完成并取得年度检测报告后支付款项。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8008B"/>
    <w:multiLevelType w:val="multilevel"/>
    <w:tmpl w:val="25D8008B"/>
    <w:lvl w:ilvl="0" w:tentative="0">
      <w:start w:val="1"/>
      <w:numFmt w:val="japaneseCounting"/>
      <w:lvlText w:val="%1、"/>
      <w:lvlJc w:val="left"/>
      <w:pPr>
        <w:ind w:left="681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633319"/>
    <w:rsid w:val="00005E89"/>
    <w:rsid w:val="00073BB4"/>
    <w:rsid w:val="000A419D"/>
    <w:rsid w:val="00110966"/>
    <w:rsid w:val="001611DE"/>
    <w:rsid w:val="0027550C"/>
    <w:rsid w:val="0028592C"/>
    <w:rsid w:val="00295484"/>
    <w:rsid w:val="002E1348"/>
    <w:rsid w:val="002F4E0D"/>
    <w:rsid w:val="003001A3"/>
    <w:rsid w:val="00315CAB"/>
    <w:rsid w:val="00400C4B"/>
    <w:rsid w:val="00480E87"/>
    <w:rsid w:val="004950CB"/>
    <w:rsid w:val="004A6804"/>
    <w:rsid w:val="004C636C"/>
    <w:rsid w:val="004D3BFF"/>
    <w:rsid w:val="004E1159"/>
    <w:rsid w:val="004E18DA"/>
    <w:rsid w:val="005C4AE6"/>
    <w:rsid w:val="00633319"/>
    <w:rsid w:val="006346CF"/>
    <w:rsid w:val="00751CB1"/>
    <w:rsid w:val="007A2FBE"/>
    <w:rsid w:val="007E624A"/>
    <w:rsid w:val="007E7CA8"/>
    <w:rsid w:val="007F497B"/>
    <w:rsid w:val="00820D20"/>
    <w:rsid w:val="00825196"/>
    <w:rsid w:val="008513D2"/>
    <w:rsid w:val="008801A0"/>
    <w:rsid w:val="008871C0"/>
    <w:rsid w:val="009756E4"/>
    <w:rsid w:val="009A79FD"/>
    <w:rsid w:val="009E7677"/>
    <w:rsid w:val="00A21543"/>
    <w:rsid w:val="00A319DC"/>
    <w:rsid w:val="00A512BC"/>
    <w:rsid w:val="00AF5273"/>
    <w:rsid w:val="00B22B2F"/>
    <w:rsid w:val="00BA51C6"/>
    <w:rsid w:val="00C02AA1"/>
    <w:rsid w:val="00C11E0F"/>
    <w:rsid w:val="00C1202F"/>
    <w:rsid w:val="00D00E79"/>
    <w:rsid w:val="00D066FF"/>
    <w:rsid w:val="00D41525"/>
    <w:rsid w:val="00E75F3B"/>
    <w:rsid w:val="00EC75DF"/>
    <w:rsid w:val="00F31147"/>
    <w:rsid w:val="00FD76BA"/>
    <w:rsid w:val="121E71F0"/>
    <w:rsid w:val="14C05599"/>
    <w:rsid w:val="15FA7517"/>
    <w:rsid w:val="1A21288B"/>
    <w:rsid w:val="1B37797F"/>
    <w:rsid w:val="3649184F"/>
    <w:rsid w:val="3CFE4F34"/>
    <w:rsid w:val="4322032B"/>
    <w:rsid w:val="4CAD2839"/>
    <w:rsid w:val="5FBF593A"/>
    <w:rsid w:val="69C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paragraph" w:styleId="3">
    <w:name w:val="heading 5"/>
    <w:basedOn w:val="1"/>
    <w:next w:val="1"/>
    <w:link w:val="14"/>
    <w:unhideWhenUsed/>
    <w:qFormat/>
    <w:uiPriority w:val="9"/>
    <w:pPr>
      <w:spacing w:before="153"/>
      <w:ind w:left="100"/>
      <w:jc w:val="both"/>
      <w:outlineLvl w:val="4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nhideWhenUsed/>
    <w:qFormat/>
    <w:uiPriority w:val="99"/>
    <w:pPr>
      <w:autoSpaceDE/>
      <w:autoSpaceDN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spacing w:before="36"/>
      <w:ind w:left="120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标题 5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  <w:lang w:eastAsia="en-US"/>
    </w:rPr>
  </w:style>
  <w:style w:type="character" w:customStyle="1" w:styleId="15">
    <w:name w:val="标题 2 字符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文本缩进 字符"/>
    <w:basedOn w:val="9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2901</Words>
  <Characters>2951</Characters>
  <Lines>25</Lines>
  <Paragraphs>7</Paragraphs>
  <TotalTime>20</TotalTime>
  <ScaleCrop>false</ScaleCrop>
  <LinksUpToDate>false</LinksUpToDate>
  <CharactersWithSpaces>2985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2023-06-09T07:16:00Z</dcterms:created>
  <dc:creator>Wang Pengfei</dc:creator>
  <cp:lastModifiedBy>赵飞</cp:lastModifiedBy>
  <dcterms:modified xsi:type="dcterms:W3CDTF">2023-07-14T09:32:01Z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DFE45814826C46E89484FF6EADCF58D0_12</vt:lpwstr>
  </property>
</Properties>
</file>