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血管内皮生长因子试剂及配套设备招标参数</w:t>
      </w:r>
    </w:p>
    <w:p>
      <w:pPr>
        <w:numPr>
          <w:numId w:val="0"/>
        </w:numPr>
        <w:spacing w:line="579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项目概况：用于定量测定人体血清中血管内皮生长因子的含量；</w:t>
      </w:r>
    </w:p>
    <w:p>
      <w:pPr>
        <w:numPr>
          <w:ilvl w:val="0"/>
          <w:numId w:val="1"/>
        </w:numPr>
        <w:spacing w:line="579" w:lineRule="exac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设备参数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1.检测原理：干式荧光免疫法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2.检测通道：≥12通道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3.样本类型：全血、血清、血浆、尿液、其他等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4.检测速度：单次检测耗时＜10秒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5.检测方式：支持一卡多项</w:t>
      </w:r>
    </w:p>
    <w:p>
      <w:pPr>
        <w:spacing w:line="360" w:lineRule="auto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宋体" w:hAnsi="宋体"/>
          <w:szCs w:val="22"/>
        </w:rPr>
        <w:t>★</w:t>
      </w:r>
      <w:r>
        <w:rPr>
          <w:rFonts w:hint="eastAsia" w:ascii="仿宋_GB2312" w:eastAsia="仿宋_GB2312"/>
          <w:sz w:val="24"/>
        </w:rPr>
        <w:t>6.检测项目：血管内皮生长因子</w:t>
      </w:r>
      <w:r>
        <w:rPr>
          <w:rFonts w:hint="eastAsia" w:ascii="仿宋_GB2312" w:eastAsia="仿宋_GB2312"/>
          <w:sz w:val="24"/>
          <w:lang w:eastAsia="zh-CN"/>
        </w:rPr>
        <w:t>；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7.试剂卡条码：一维码、二维码</w:t>
      </w:r>
      <w:r>
        <w:rPr>
          <w:rFonts w:hint="eastAsia" w:ascii="仿宋_GB2312" w:eastAsia="仿宋_GB2312"/>
          <w:sz w:val="24"/>
          <w:lang w:val="en-US" w:eastAsia="zh-CN"/>
        </w:rPr>
        <w:t>等</w:t>
      </w:r>
      <w:r>
        <w:rPr>
          <w:rFonts w:hint="eastAsia" w:ascii="仿宋_GB2312" w:eastAsia="仿宋_GB2312"/>
          <w:sz w:val="24"/>
        </w:rPr>
        <w:t>（以用户最终选择为主）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8.台间差：Bis%≤5%（系列标准卡）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宋体" w:hAnsi="宋体"/>
          <w:szCs w:val="22"/>
        </w:rPr>
        <w:t>★</w:t>
      </w:r>
      <w:r>
        <w:rPr>
          <w:rFonts w:hint="eastAsia" w:ascii="仿宋_GB2312" w:eastAsia="仿宋_GB2312"/>
          <w:sz w:val="24"/>
        </w:rPr>
        <w:t>9.检测性能：重复性CV≤10% 稳定性≤±8%</w:t>
      </w:r>
    </w:p>
    <w:p>
      <w:pPr>
        <w:spacing w:line="360" w:lineRule="auto"/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二、试剂参数</w:t>
      </w:r>
    </w:p>
    <w:tbl>
      <w:tblPr>
        <w:tblStyle w:val="8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9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血管内皮生长因子（VEGF）检测试剂盒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检测技术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量子点免疫荧光法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Calibri" w:asciiTheme="minorEastAsia" w:hAnsiTheme="minorEastAsia" w:eastAsiaTheme="minorEastAsia"/>
                <w:bCs/>
                <w:kern w:val="0"/>
                <w:sz w:val="24"/>
                <w:szCs w:val="32"/>
              </w:rPr>
              <w:t>样本类型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血清/血浆/全血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cs="Calibri" w:asciiTheme="minorEastAsia" w:hAnsiTheme="minorEastAsia" w:eastAsiaTheme="minorEastAsia"/>
                <w:bCs/>
                <w:kern w:val="0"/>
                <w:sz w:val="24"/>
                <w:szCs w:val="32"/>
              </w:rPr>
            </w:pPr>
            <w:r>
              <w:rPr>
                <w:rFonts w:hint="eastAsia" w:cs="Calibri" w:asciiTheme="minorEastAsia" w:hAnsiTheme="minorEastAsia" w:eastAsiaTheme="minorEastAsia"/>
                <w:bCs/>
                <w:kern w:val="0"/>
                <w:sz w:val="24"/>
                <w:szCs w:val="32"/>
              </w:rPr>
              <w:t>每年使用量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32"/>
              </w:rPr>
              <w:t>000</w:t>
            </w: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人</w:t>
            </w:r>
            <w:r>
              <w:rPr>
                <w:rFonts w:asciiTheme="minorEastAsia" w:hAnsiTheme="minorEastAsia" w:eastAsiaTheme="minorEastAsia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每年成本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成本约3</w:t>
            </w:r>
            <w:r>
              <w:rPr>
                <w:rFonts w:asciiTheme="minorEastAsia" w:hAnsiTheme="minorEastAsia" w:eastAsiaTheme="minorEastAsia"/>
                <w:sz w:val="24"/>
                <w:szCs w:val="32"/>
              </w:rPr>
              <w:t>30000</w:t>
            </w: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32"/>
              </w:rPr>
              <w:t>准确度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相对偏差应≤20%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32"/>
              </w:rPr>
              <w:t>检测限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≤5pg/mL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32"/>
              </w:rPr>
              <w:t>精密度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批内CV应≤15%；批间CV应≤15%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32"/>
              </w:rPr>
              <w:t>线性范围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在 15～1400pg/mL 的线性范围内，相关系数 r 应≥0.99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32"/>
              </w:rPr>
              <w:t>参考范围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＜160pg/mL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储存条件及有效期</w:t>
            </w:r>
          </w:p>
        </w:tc>
        <w:tc>
          <w:tcPr>
            <w:tcW w:w="6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2"/>
              </w:rPr>
              <w:t>试剂盒于2~30℃保存，未开封试剂盒自生产之日起18个月内有效</w:t>
            </w:r>
          </w:p>
        </w:tc>
      </w:tr>
    </w:tbl>
    <w:p/>
    <w:p>
      <w:pPr>
        <w:rPr>
          <w:rStyle w:val="13"/>
          <w:b/>
          <w:bCs/>
          <w:sz w:val="32"/>
          <w:szCs w:val="32"/>
        </w:rPr>
      </w:pPr>
      <w:bookmarkStart w:id="0" w:name="_GoBack"/>
      <w:bookmarkEnd w:id="0"/>
      <w:r>
        <w:rPr>
          <w:rStyle w:val="13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18个月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025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769F6"/>
    <w:multiLevelType w:val="singleLevel"/>
    <w:tmpl w:val="F11769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4B881C83"/>
    <w:rsid w:val="000033EA"/>
    <w:rsid w:val="00003FB8"/>
    <w:rsid w:val="000125E3"/>
    <w:rsid w:val="00026471"/>
    <w:rsid w:val="0004319D"/>
    <w:rsid w:val="0006585B"/>
    <w:rsid w:val="00095A4C"/>
    <w:rsid w:val="000B1103"/>
    <w:rsid w:val="000B2509"/>
    <w:rsid w:val="000B394D"/>
    <w:rsid w:val="000C3599"/>
    <w:rsid w:val="000C45BB"/>
    <w:rsid w:val="000D4BC9"/>
    <w:rsid w:val="0012426F"/>
    <w:rsid w:val="0013183A"/>
    <w:rsid w:val="00140DC5"/>
    <w:rsid w:val="0015655E"/>
    <w:rsid w:val="00160911"/>
    <w:rsid w:val="00184AD0"/>
    <w:rsid w:val="001852D1"/>
    <w:rsid w:val="0019136F"/>
    <w:rsid w:val="00197007"/>
    <w:rsid w:val="001D1B7F"/>
    <w:rsid w:val="001D7CCB"/>
    <w:rsid w:val="001E1091"/>
    <w:rsid w:val="001F4CBA"/>
    <w:rsid w:val="00220C48"/>
    <w:rsid w:val="002368B1"/>
    <w:rsid w:val="002530CF"/>
    <w:rsid w:val="00256E34"/>
    <w:rsid w:val="002715F8"/>
    <w:rsid w:val="002C3A09"/>
    <w:rsid w:val="002D5FD3"/>
    <w:rsid w:val="00303F9E"/>
    <w:rsid w:val="00313CD4"/>
    <w:rsid w:val="003623B3"/>
    <w:rsid w:val="00363F49"/>
    <w:rsid w:val="0039764D"/>
    <w:rsid w:val="003F678E"/>
    <w:rsid w:val="00404132"/>
    <w:rsid w:val="004173A4"/>
    <w:rsid w:val="00417F6B"/>
    <w:rsid w:val="00431398"/>
    <w:rsid w:val="004434DE"/>
    <w:rsid w:val="004557CD"/>
    <w:rsid w:val="0046549B"/>
    <w:rsid w:val="004712B1"/>
    <w:rsid w:val="00471ECF"/>
    <w:rsid w:val="00474B8E"/>
    <w:rsid w:val="004923A3"/>
    <w:rsid w:val="00492B9D"/>
    <w:rsid w:val="004B09B0"/>
    <w:rsid w:val="004D1C3D"/>
    <w:rsid w:val="004E665B"/>
    <w:rsid w:val="004F7A6D"/>
    <w:rsid w:val="0052791F"/>
    <w:rsid w:val="005337DD"/>
    <w:rsid w:val="00560FCF"/>
    <w:rsid w:val="00565D5A"/>
    <w:rsid w:val="00577423"/>
    <w:rsid w:val="005B5C2F"/>
    <w:rsid w:val="005D1E4D"/>
    <w:rsid w:val="00636689"/>
    <w:rsid w:val="006515F1"/>
    <w:rsid w:val="00654FFA"/>
    <w:rsid w:val="006560D8"/>
    <w:rsid w:val="00694EA3"/>
    <w:rsid w:val="00695FD7"/>
    <w:rsid w:val="006B2D4E"/>
    <w:rsid w:val="006B4762"/>
    <w:rsid w:val="006C2538"/>
    <w:rsid w:val="006E198F"/>
    <w:rsid w:val="006E3EFC"/>
    <w:rsid w:val="006F042B"/>
    <w:rsid w:val="006F073D"/>
    <w:rsid w:val="006F5F66"/>
    <w:rsid w:val="00707EC6"/>
    <w:rsid w:val="00727037"/>
    <w:rsid w:val="00753E00"/>
    <w:rsid w:val="007F6141"/>
    <w:rsid w:val="008065ED"/>
    <w:rsid w:val="00823527"/>
    <w:rsid w:val="00836875"/>
    <w:rsid w:val="00841CCC"/>
    <w:rsid w:val="0088049B"/>
    <w:rsid w:val="00882E80"/>
    <w:rsid w:val="008A7BB5"/>
    <w:rsid w:val="008D6DB7"/>
    <w:rsid w:val="008D747A"/>
    <w:rsid w:val="008F6AF4"/>
    <w:rsid w:val="0091031A"/>
    <w:rsid w:val="009403E9"/>
    <w:rsid w:val="00942005"/>
    <w:rsid w:val="00944D2E"/>
    <w:rsid w:val="009457CB"/>
    <w:rsid w:val="009477B1"/>
    <w:rsid w:val="00972609"/>
    <w:rsid w:val="00986BE6"/>
    <w:rsid w:val="00992340"/>
    <w:rsid w:val="009A027C"/>
    <w:rsid w:val="009A0E7D"/>
    <w:rsid w:val="009A54FF"/>
    <w:rsid w:val="009E7F34"/>
    <w:rsid w:val="009F179B"/>
    <w:rsid w:val="00A06B61"/>
    <w:rsid w:val="00A06F6A"/>
    <w:rsid w:val="00A31826"/>
    <w:rsid w:val="00A400E0"/>
    <w:rsid w:val="00A47BDF"/>
    <w:rsid w:val="00A82820"/>
    <w:rsid w:val="00A95E3A"/>
    <w:rsid w:val="00AE1856"/>
    <w:rsid w:val="00AF7051"/>
    <w:rsid w:val="00B23D86"/>
    <w:rsid w:val="00B56BD2"/>
    <w:rsid w:val="00B601EF"/>
    <w:rsid w:val="00B645E4"/>
    <w:rsid w:val="00B67774"/>
    <w:rsid w:val="00B84AE8"/>
    <w:rsid w:val="00B91274"/>
    <w:rsid w:val="00BA0EEE"/>
    <w:rsid w:val="00BB678C"/>
    <w:rsid w:val="00BC52CE"/>
    <w:rsid w:val="00BD6280"/>
    <w:rsid w:val="00BE2295"/>
    <w:rsid w:val="00C00598"/>
    <w:rsid w:val="00C7204C"/>
    <w:rsid w:val="00C8182C"/>
    <w:rsid w:val="00CC44BB"/>
    <w:rsid w:val="00CC50F0"/>
    <w:rsid w:val="00CD39D6"/>
    <w:rsid w:val="00CE1685"/>
    <w:rsid w:val="00D00C68"/>
    <w:rsid w:val="00D12E46"/>
    <w:rsid w:val="00D53804"/>
    <w:rsid w:val="00D71D5C"/>
    <w:rsid w:val="00D84139"/>
    <w:rsid w:val="00D9357C"/>
    <w:rsid w:val="00DB54F9"/>
    <w:rsid w:val="00DC124B"/>
    <w:rsid w:val="00DE31AB"/>
    <w:rsid w:val="00DE59F1"/>
    <w:rsid w:val="00DF70A3"/>
    <w:rsid w:val="00E14D6C"/>
    <w:rsid w:val="00E45FEF"/>
    <w:rsid w:val="00E460B8"/>
    <w:rsid w:val="00E602B8"/>
    <w:rsid w:val="00E821EA"/>
    <w:rsid w:val="00E923FD"/>
    <w:rsid w:val="00EB2A63"/>
    <w:rsid w:val="00EE2DFF"/>
    <w:rsid w:val="00EE4964"/>
    <w:rsid w:val="00EE6B5F"/>
    <w:rsid w:val="00F11D0B"/>
    <w:rsid w:val="00F21BAB"/>
    <w:rsid w:val="00F23264"/>
    <w:rsid w:val="00F556C0"/>
    <w:rsid w:val="00F66142"/>
    <w:rsid w:val="00F937A9"/>
    <w:rsid w:val="00F963C4"/>
    <w:rsid w:val="00F96BB3"/>
    <w:rsid w:val="00FB62EB"/>
    <w:rsid w:val="00FE4D46"/>
    <w:rsid w:val="09711E93"/>
    <w:rsid w:val="099C7D67"/>
    <w:rsid w:val="235A2314"/>
    <w:rsid w:val="28FD1A6E"/>
    <w:rsid w:val="31DD1434"/>
    <w:rsid w:val="357F5372"/>
    <w:rsid w:val="35853C9B"/>
    <w:rsid w:val="374F7DFF"/>
    <w:rsid w:val="38AD46E4"/>
    <w:rsid w:val="3BEF4AD6"/>
    <w:rsid w:val="46932C6B"/>
    <w:rsid w:val="4B662F8C"/>
    <w:rsid w:val="4B881C83"/>
    <w:rsid w:val="4E987C15"/>
    <w:rsid w:val="53E54322"/>
    <w:rsid w:val="5DD27AC4"/>
    <w:rsid w:val="676A7FE2"/>
    <w:rsid w:val="6949107E"/>
    <w:rsid w:val="76B75830"/>
    <w:rsid w:val="7B1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437</Characters>
  <Lines>3</Lines>
  <Paragraphs>1</Paragraphs>
  <TotalTime>2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2023-03-27T02:34:00Z</dcterms:created>
  <dc:creator>liuyq</dc:creator>
  <cp:lastModifiedBy>赵飞</cp:lastModifiedBy>
  <cp:lastPrinted>2023-02-28T05:06:00Z</cp:lastPrinted>
  <dcterms:modified xsi:type="dcterms:W3CDTF">2023-05-24T08:44:09Z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7306115279AA41D68ACE63352B8CFBAF</vt:lpwstr>
  </property>
</Properties>
</file>