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X射线双能骨密度测量仪技术参数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项目概况：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全身型X射线双能骨密度仪，可为骨质疏松、人工关节置换术、儿童骨龄评估等临床诊断提供依据，适用于骨科、内分泌科、体检中心应用。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1、全身型X射线双能骨密度仪，可为骨质疏松、人工关节置换术、儿童骨龄评估等临床诊断提供依据，适用于骨科、内分泌科、体检中心应用。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、X 线源球管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.1、双能 X 射线。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.2、双能产生方式：通过K缘过滤同时产生高能、低能两种能量。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.3、双能的峰值：高能≥8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KeV，低能≥4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KeV，球管可以连续长时间工作。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.4、</w:t>
      </w: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</w:rPr>
        <w:t>扫描模式：窄角扇束，开角≤4°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X射线在床面的投影面积≤17.5*1.7mm</w:t>
      </w:r>
      <w:bookmarkEnd w:id="0"/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.5、球管电流：稳定的阳极球管，X 线球管最大电流≥3mA。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.6、采集成像方式：连续扫描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.7、无需预扫描，配置激光定位系统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.8、球管最大耐受电流≥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mA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.9、球管冷却：油冷+风冷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、数字化探测器：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.1、</w:t>
      </w:r>
      <w:r>
        <w:rPr>
          <w:rFonts w:hint="eastAsia" w:ascii="宋体" w:hAnsi="宋体" w:cs="宋体"/>
          <w:sz w:val="24"/>
          <w:szCs w:val="24"/>
          <w:lang w:eastAsia="zh-CN"/>
        </w:rPr>
        <w:t>采用</w:t>
      </w:r>
      <w:r>
        <w:rPr>
          <w:rFonts w:hint="eastAsia" w:ascii="宋体" w:hAnsi="宋体" w:eastAsia="宋体" w:cs="宋体"/>
          <w:sz w:val="24"/>
          <w:szCs w:val="24"/>
        </w:rPr>
        <w:t>碲锌镉直接数字化探测器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.2、探测器数量：≥16 组，单位探测面积≥7mm*7mm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、扫描：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.1、适用于全身的扫描床，长度：≥2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cm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.2、适用于全身的扫描床，宽度：≥10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cm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.3、有效扫描范围：长度×宽度≥200cm×58cm。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.4、扫描时间: 腰椎≤30 秒、股骨≤30 秒、 全身≤5 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.5、激光定位器；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.6、配套扫描定位器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.7、操作面板：液晶触摸屏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、扫描床体：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.1、床体尺寸：开放式床体，配可移动脚轮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.2、</w:t>
      </w:r>
      <w:r>
        <w:rPr>
          <w:rFonts w:hint="eastAsia" w:ascii="宋体" w:hAnsi="宋体" w:cs="宋体"/>
          <w:sz w:val="24"/>
          <w:szCs w:val="24"/>
          <w:lang w:eastAsia="zh-CN"/>
        </w:rPr>
        <w:t>床体</w:t>
      </w:r>
      <w:r>
        <w:rPr>
          <w:rFonts w:hint="eastAsia" w:ascii="宋体" w:hAnsi="宋体" w:eastAsia="宋体" w:cs="宋体"/>
          <w:sz w:val="24"/>
          <w:szCs w:val="24"/>
        </w:rPr>
        <w:t>最大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承重</w:t>
      </w:r>
      <w:r>
        <w:rPr>
          <w:rFonts w:hint="eastAsia" w:ascii="宋体" w:hAnsi="宋体" w:eastAsia="宋体" w:cs="宋体"/>
          <w:sz w:val="24"/>
          <w:szCs w:val="24"/>
        </w:rPr>
        <w:t>≥200KG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、质量控制系统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.1、质控系统之校准：校准使机器达到规定的精确度和准确度。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.2、质控系统之分析质控：模拟人体腰椎的校准模块、阶梯状专业校准模块。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.3、</w:t>
      </w:r>
      <w:r>
        <w:rPr>
          <w:rFonts w:hint="eastAsia" w:ascii="宋体" w:hAnsi="宋体" w:cs="宋体"/>
          <w:sz w:val="24"/>
          <w:szCs w:val="24"/>
          <w:lang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</w:rPr>
        <w:t>准确度和精确度数据功能</w:t>
      </w:r>
      <w:r>
        <w:rPr>
          <w:rFonts w:hint="eastAsia" w:ascii="宋体" w:hAnsi="宋体" w:cs="宋体"/>
          <w:sz w:val="24"/>
          <w:szCs w:val="24"/>
          <w:lang w:eastAsia="zh-CN"/>
        </w:rPr>
        <w:t>，提供证明材料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.4、测量重复性：骨密度测量值变异系数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 xml:space="preserve"> 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、扫描部位及临床应用功能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.1、正位腰椎扫描、评估</w:t>
      </w:r>
      <w:r>
        <w:rPr>
          <w:rFonts w:hint="eastAsia" w:ascii="宋体" w:hAnsi="宋体" w:cs="宋体"/>
          <w:sz w:val="24"/>
          <w:szCs w:val="24"/>
          <w:lang w:eastAsia="zh-CN"/>
        </w:rPr>
        <w:t>：具有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.2、单侧股骨扫描、评估</w:t>
      </w:r>
      <w:r>
        <w:rPr>
          <w:rFonts w:hint="eastAsia" w:ascii="宋体" w:hAnsi="宋体" w:cs="宋体"/>
          <w:sz w:val="24"/>
          <w:szCs w:val="24"/>
          <w:lang w:eastAsia="zh-CN"/>
        </w:rPr>
        <w:t>：具有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.3、双侧股骨自动扫描、评估</w:t>
      </w:r>
      <w:r>
        <w:rPr>
          <w:rFonts w:hint="eastAsia" w:ascii="宋体" w:hAnsi="宋体" w:cs="宋体"/>
          <w:sz w:val="24"/>
          <w:szCs w:val="24"/>
          <w:lang w:eastAsia="zh-CN"/>
        </w:rPr>
        <w:t>：具有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.4、前臂测量和分析</w:t>
      </w:r>
      <w:r>
        <w:rPr>
          <w:rFonts w:hint="eastAsia" w:ascii="宋体" w:hAnsi="宋体" w:cs="宋体"/>
          <w:sz w:val="24"/>
          <w:szCs w:val="24"/>
          <w:lang w:eastAsia="zh-CN"/>
        </w:rPr>
        <w:t>：具有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.5、全身骨密度扫描，并可进行四肢、躯干等部位的单独分析测量</w:t>
      </w:r>
      <w:r>
        <w:rPr>
          <w:rFonts w:hint="eastAsia" w:ascii="宋体" w:hAnsi="宋体" w:cs="宋体"/>
          <w:sz w:val="24"/>
          <w:szCs w:val="24"/>
          <w:lang w:eastAsia="zh-CN"/>
        </w:rPr>
        <w:t>：具有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.6、WHO 体重指数评估</w:t>
      </w:r>
      <w:r>
        <w:rPr>
          <w:rFonts w:hint="eastAsia" w:ascii="宋体" w:hAnsi="宋体" w:cs="宋体"/>
          <w:sz w:val="24"/>
          <w:szCs w:val="24"/>
          <w:lang w:eastAsia="zh-CN"/>
        </w:rPr>
        <w:t>：具有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.7、人工髋关节置换后的自动扫描、评估</w:t>
      </w:r>
      <w:r>
        <w:rPr>
          <w:rFonts w:hint="eastAsia" w:ascii="宋体" w:hAnsi="宋体" w:cs="宋体"/>
          <w:sz w:val="24"/>
          <w:szCs w:val="24"/>
          <w:lang w:eastAsia="zh-CN"/>
        </w:rPr>
        <w:t>：具有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.7.1、增强型骨科专用软件（髋关节），用于人工髋关节置换术后假体周围骨量测量及变化评估</w:t>
      </w:r>
      <w:r>
        <w:rPr>
          <w:rFonts w:hint="eastAsia" w:ascii="宋体" w:hAnsi="宋体" w:cs="宋体"/>
          <w:sz w:val="24"/>
          <w:szCs w:val="24"/>
          <w:lang w:eastAsia="zh-CN"/>
        </w:rPr>
        <w:t>：具有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.7.2、人工髋关节周围划分的评估区个数：≥1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 个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提供临床影像图和报告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.8、正/侧位脊柱骨密度扫描、评估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提供影像附图。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.9、一次定位，自动完成腰椎、双侧股骨扫描检测功能</w:t>
      </w:r>
      <w:r>
        <w:rPr>
          <w:rFonts w:hint="eastAsia" w:ascii="宋体" w:hAnsi="宋体" w:cs="宋体"/>
          <w:sz w:val="24"/>
          <w:szCs w:val="24"/>
          <w:lang w:eastAsia="zh-CN"/>
        </w:rPr>
        <w:t>：具有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.10、计算机自动辅助诊断分析软件</w:t>
      </w:r>
      <w:r>
        <w:rPr>
          <w:rFonts w:hint="eastAsia" w:ascii="宋体" w:hAnsi="宋体" w:cs="宋体"/>
          <w:sz w:val="24"/>
          <w:szCs w:val="24"/>
          <w:lang w:eastAsia="zh-CN"/>
        </w:rPr>
        <w:t>：具有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、软件及功能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.1、全中文骨密度操作软件及全中文报告。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.2、金属及异物自动分析软件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.3、历史记录对比分析软件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.4、多人种数据库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无条件提供更新和升级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.5、智能扫描软件：快速扫描，降低辐射剂量。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.6、全身体成分分析软件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.7、腹部脂肪组织厚度、比例测量软件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.8、T值和Z值分析软件。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.9、骨编辑软件：实现骨骼、软组织的添加和删减。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.10、腰椎侧位评估软件和双髋评估软件。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.11、自动感兴趣区识别软件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.12 全面骨质疏松和骨折风险评估软件，能够单独输出A4纸报告。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.13人工关节置换分析软件，提供影像附图。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.14、骨密度色阶显示评估，基于骨密度数值色阶结构评估分析的软件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.15、全身任意感兴趣区域骨密度测量分析功能。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.16、影像处理软件：能对骨骼影像做放大、对比度、灰度调节处理。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.17、高级体成分分析软件，可查看全身任意面积大小的骨骼形态，肌肉量，脂肪量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.18、儿童骨密度测量软件，提供实际操作图。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自带</w:t>
      </w:r>
      <w:r>
        <w:rPr>
          <w:rFonts w:hint="eastAsia" w:ascii="宋体" w:hAnsi="宋体" w:eastAsia="宋体" w:cs="宋体"/>
          <w:sz w:val="24"/>
          <w:szCs w:val="24"/>
        </w:rPr>
        <w:t>儿童骨龄分析软件。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.20、增强型髋关节软件，可测量髋轴长度、股骨颈干角、股骨颈骨密度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.21、测量数据 ：骨密度、骨矿物含量、骨均质指数、面积、T值、Z值、体重质数、脂肪含量、肌肉含量，骨密度变化走势。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.22、多部位报告集成功能，多图像展示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可根据医院需求提供中文多部位报告系统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提供影像附图。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.23、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标配</w:t>
      </w:r>
      <w:r>
        <w:rPr>
          <w:rFonts w:hint="eastAsia" w:ascii="宋体" w:hAnsi="宋体" w:eastAsia="宋体" w:cs="宋体"/>
          <w:sz w:val="24"/>
          <w:szCs w:val="24"/>
        </w:rPr>
        <w:t>内脏脂肪分析软件</w:t>
      </w:r>
      <w:r>
        <w:rPr>
          <w:rFonts w:hint="eastAsia" w:ascii="宋体" w:hAnsi="宋体" w:cs="宋体"/>
          <w:sz w:val="24"/>
          <w:szCs w:val="24"/>
          <w:lang w:eastAsia="zh-CN"/>
        </w:rPr>
        <w:t>：具有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.24、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标配</w:t>
      </w:r>
      <w:r>
        <w:rPr>
          <w:rFonts w:hint="eastAsia" w:ascii="宋体" w:hAnsi="宋体" w:eastAsia="宋体" w:cs="宋体"/>
          <w:sz w:val="24"/>
          <w:szCs w:val="24"/>
        </w:rPr>
        <w:t>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少症</w:t>
      </w:r>
      <w:r>
        <w:rPr>
          <w:rFonts w:hint="eastAsia" w:ascii="宋体" w:hAnsi="宋体" w:eastAsia="宋体" w:cs="宋体"/>
          <w:sz w:val="24"/>
          <w:szCs w:val="24"/>
        </w:rPr>
        <w:t>分析软件</w:t>
      </w:r>
      <w:r>
        <w:rPr>
          <w:rFonts w:hint="eastAsia" w:ascii="宋体" w:hAnsi="宋体" w:cs="宋体"/>
          <w:sz w:val="24"/>
          <w:szCs w:val="24"/>
          <w:lang w:eastAsia="zh-CN"/>
        </w:rPr>
        <w:t>：具有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en-US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en-US"/>
        </w:rPr>
        <w:t>、工作站要求：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.1、工作站：液晶显示器≥19 英寸、分辨率≥1280X1080 以上，window7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.2、CPU ≥ intel 酷睿双核 i5；硬盘≥1T；内存≥8G。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eastAsia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.3、彩色激光打印机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.4、DICOM3.0 接口：开放式接口，接口开放，可与医院 HIS 和 PACS 连接。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投标人承担接口费用）</w:t>
      </w:r>
    </w:p>
    <w:p>
      <w:pPr>
        <w:rPr>
          <w:rStyle w:val="8"/>
          <w:b/>
          <w:bCs/>
          <w:sz w:val="24"/>
          <w:szCs w:val="24"/>
        </w:rPr>
      </w:pPr>
      <w:r>
        <w:rPr>
          <w:rStyle w:val="8"/>
          <w:rFonts w:hint="eastAsia"/>
          <w:b/>
          <w:bCs/>
          <w:sz w:val="24"/>
          <w:szCs w:val="24"/>
          <w:lang w:val="en-US" w:eastAsia="zh-CN"/>
        </w:rPr>
        <w:t>10、</w:t>
      </w:r>
      <w:r>
        <w:rPr>
          <w:rStyle w:val="8"/>
          <w:rFonts w:hint="eastAsia"/>
          <w:b/>
          <w:bCs/>
          <w:sz w:val="24"/>
          <w:szCs w:val="24"/>
        </w:rPr>
        <w:t>售后服务要求：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序号</w:t>
            </w:r>
          </w:p>
        </w:tc>
        <w:tc>
          <w:tcPr>
            <w:tcW w:w="7814" w:type="dxa"/>
            <w:noWrap w:val="0"/>
            <w:vAlign w:val="top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</w:t>
            </w:r>
          </w:p>
        </w:tc>
        <w:tc>
          <w:tcPr>
            <w:tcW w:w="7814" w:type="dxa"/>
            <w:noWrap w:val="0"/>
            <w:vAlign w:val="top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整机质保不少于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7814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提供全年原厂7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软件系统终身免费升级（提供承诺函）。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7814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7814" w:type="dxa"/>
            <w:noWrap w:val="0"/>
            <w:vAlign w:val="top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7814" w:type="dxa"/>
            <w:noWrap w:val="0"/>
            <w:vAlign w:val="top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故障报修响应时间≤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小时，接到维护电话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7814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每年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至少一次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免费检测、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校准，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并提供检测、校准报告（提供承诺函）。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chineseCountingThousand"/>
      <w:pStyle w:val="3"/>
      <w:suff w:val="nothing"/>
      <w:lvlText w:val="第%1章"/>
      <w:lvlJc w:val="left"/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VkYzI5ZTRmNWQ5NTUyYWY2ODZkNTc2NjE4OTQifQ=="/>
  </w:docVars>
  <w:rsids>
    <w:rsidRoot w:val="00000000"/>
    <w:rsid w:val="00B83CBD"/>
    <w:rsid w:val="0E525ADF"/>
    <w:rsid w:val="15891271"/>
    <w:rsid w:val="32C0264B"/>
    <w:rsid w:val="35584DBD"/>
    <w:rsid w:val="3B7665B8"/>
    <w:rsid w:val="3D755678"/>
    <w:rsid w:val="3E5B69BE"/>
    <w:rsid w:val="4A6269F9"/>
    <w:rsid w:val="67D467FC"/>
    <w:rsid w:val="6E3C6AA2"/>
    <w:rsid w:val="712D1058"/>
    <w:rsid w:val="728F1117"/>
    <w:rsid w:val="789C7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numPr>
        <w:ilvl w:val="0"/>
        <w:numId w:val="1"/>
      </w:numPr>
      <w:tabs>
        <w:tab w:val="left" w:pos="1830"/>
      </w:tabs>
      <w:outlineLvl w:val="0"/>
    </w:pPr>
    <w:rPr>
      <w:rFonts w:ascii="Arial" w:hAnsi="Arial" w:eastAsia="仿宋_GB2312"/>
      <w:sz w:val="28"/>
      <w:szCs w:val="20"/>
      <w:lang w:bidi="he-IL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keepLines/>
      <w:widowControl/>
      <w:tabs>
        <w:tab w:val="clear" w:pos="1830"/>
      </w:tabs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kern w:val="0"/>
      <w:szCs w:val="28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1820</Words>
  <Characters>2066</Characters>
  <Lines>14</Lines>
  <Paragraphs>4</Paragraphs>
  <TotalTime>18</TotalTime>
  <ScaleCrop>false</ScaleCrop>
  <LinksUpToDate>false</LinksUpToDate>
  <CharactersWithSpaces>2093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2020-02-24T08:14:00Z</dcterms:created>
  <dc:creator>Administrator</dc:creator>
  <cp:lastModifiedBy>杨志友</cp:lastModifiedBy>
  <cp:lastPrinted>2021-04-06T13:00:00Z</cp:lastPrinted>
  <dcterms:modified xsi:type="dcterms:W3CDTF">2023-05-16T00:21:40Z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0A47A8717592435AB2C33D323E3610AD</vt:lpwstr>
  </property>
</Properties>
</file>