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Septin9技术参数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检测方法：荧光PCR</w:t>
      </w: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</w:t>
      </w:r>
      <w:r>
        <w:rPr>
          <w:rFonts w:hint="eastAsia"/>
          <w:sz w:val="24"/>
          <w:szCs w:val="24"/>
        </w:rPr>
        <w:t>灵敏度：在10ng/ml野生型基因组DNA背景下，对septin9甲基化 DNA含量为0.1％的灵敏度参考品能够准确检出；在septin9甲基化 DNA含量为1％背景下，对DNA浓度为1ng/ml的灵敏度参考品能够准确检出。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精密性：CV≤5%。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抗干扰能力：样本中含以下干扰物质：胆红素（≤0.4mg/mL）、胆固醇（≤12mg/mL）、甘油三酯（≤20mg/mL）、葡萄糖（≤10mg/mL）、尿酸（≤0.35mg/mL）、K2EDTA（≤20mg/mL）、白蛋白（≤50mg/mL）、血清铁蛋白（≤2mg/mL）、血红蛋白（≤17.5mg/mL）、未甲基化DNA（≤500ng/mL），对本试剂盒的检测结果无影响。(提供相关资料证明)</w:t>
      </w:r>
    </w:p>
    <w:p>
      <w:pPr>
        <w:rPr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</w:t>
      </w:r>
      <w:r>
        <w:rPr>
          <w:rFonts w:hint="eastAsia"/>
          <w:sz w:val="24"/>
          <w:szCs w:val="24"/>
        </w:rPr>
        <w:t>符合率：临床验证阳性符合率不低于75%，临床验证阴性符合率不低于90％，</w:t>
      </w:r>
      <w:r>
        <w:rPr>
          <w:rFonts w:hint="eastAsia"/>
          <w:bCs/>
          <w:sz w:val="24"/>
          <w:szCs w:val="24"/>
        </w:rPr>
        <w:t>结直肠癌I-II期检出率</w:t>
      </w:r>
      <w:r>
        <w:rPr>
          <w:rFonts w:hint="eastAsia"/>
          <w:sz w:val="24"/>
          <w:szCs w:val="24"/>
        </w:rPr>
        <w:t>不低于</w:t>
      </w:r>
      <w:r>
        <w:rPr>
          <w:rFonts w:hint="eastAsia"/>
          <w:bCs/>
          <w:sz w:val="24"/>
          <w:szCs w:val="24"/>
        </w:rPr>
        <w:t>60%；III-IV期检出率</w:t>
      </w:r>
      <w:r>
        <w:rPr>
          <w:rFonts w:hint="eastAsia"/>
          <w:sz w:val="24"/>
          <w:szCs w:val="24"/>
        </w:rPr>
        <w:t>不低于</w:t>
      </w:r>
      <w:r>
        <w:rPr>
          <w:rFonts w:hint="eastAsia"/>
          <w:bCs/>
          <w:sz w:val="24"/>
          <w:szCs w:val="24"/>
        </w:rPr>
        <w:t xml:space="preserve"> 80%。</w:t>
      </w: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</w:t>
      </w:r>
      <w:r>
        <w:rPr>
          <w:rFonts w:hint="eastAsia"/>
          <w:sz w:val="24"/>
          <w:szCs w:val="24"/>
        </w:rPr>
        <w:t>内质控操作：septin9和内参基因ACTB同时扩增的双重PCR受控体系，并且配备有阳性质控品和阴性质控品，需与样本平行提取、硫化纯化、PCR检测，对样品的提取和硫化修饰质量、PCR加样进行全程监控。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适用机型：Roche LightCycler@480</w:t>
      </w:r>
      <w:bookmarkStart w:id="0" w:name="_GoBack"/>
      <w:bookmarkEnd w:id="0"/>
      <w:r>
        <w:rPr>
          <w:rFonts w:hint="eastAsia"/>
          <w:sz w:val="24"/>
          <w:szCs w:val="24"/>
        </w:rPr>
        <w:t>PCR仪。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样品检测：3个平行PCR综合判读。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样本需求：5ml外周血(2ml血浆）。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硫化试剂：开封后可以保存不少于8周。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样本要求：EDTA抗凝血。</w:t>
      </w:r>
    </w:p>
    <w:p>
      <w:pPr>
        <w:rPr>
          <w:rStyle w:val="8"/>
          <w:b/>
          <w:bCs/>
          <w:sz w:val="32"/>
          <w:szCs w:val="32"/>
        </w:rPr>
      </w:pPr>
      <w:r>
        <w:rPr>
          <w:rStyle w:val="8"/>
          <w:rFonts w:hint="eastAsia"/>
          <w:b/>
          <w:bCs/>
          <w:sz w:val="32"/>
          <w:szCs w:val="32"/>
          <w:lang w:eastAsia="zh-CN"/>
        </w:rPr>
        <w:t>二</w:t>
      </w:r>
      <w:r>
        <w:rPr>
          <w:rStyle w:val="8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所投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试剂</w:t>
            </w:r>
            <w:r>
              <w:rPr>
                <w:rFonts w:hint="eastAsia" w:ascii="宋体" w:hAnsi="宋体" w:cs="宋体"/>
                <w:kern w:val="0"/>
                <w:szCs w:val="22"/>
              </w:rPr>
              <w:t>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合作期内免费提供第三方国际知名品牌质控品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4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5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专家签字：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A54D6E"/>
    <w:rsid w:val="001A000A"/>
    <w:rsid w:val="007F714E"/>
    <w:rsid w:val="008D3B14"/>
    <w:rsid w:val="009B793F"/>
    <w:rsid w:val="00A54D6E"/>
    <w:rsid w:val="00AA224E"/>
    <w:rsid w:val="00BB0E58"/>
    <w:rsid w:val="00E503BA"/>
    <w:rsid w:val="00F7661F"/>
    <w:rsid w:val="00FA5EBD"/>
    <w:rsid w:val="1F5D408E"/>
    <w:rsid w:val="200848EF"/>
    <w:rsid w:val="2732520C"/>
    <w:rsid w:val="29BC3CCA"/>
    <w:rsid w:val="4EFD792E"/>
    <w:rsid w:val="61584517"/>
    <w:rsid w:val="750F3D1A"/>
    <w:rsid w:val="75F15FB8"/>
    <w:rsid w:val="7FE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678</Words>
  <Characters>855</Characters>
  <Lines>4</Lines>
  <Paragraphs>1</Paragraphs>
  <TotalTime>3</TotalTime>
  <ScaleCrop>false</ScaleCrop>
  <LinksUpToDate>false</LinksUpToDate>
  <CharactersWithSpaces>859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2022-02-11T01:13:00Z</dcterms:created>
  <dc:creator>gyb1</dc:creator>
  <cp:lastModifiedBy>赵飞</cp:lastModifiedBy>
  <cp:lastPrinted>2022-07-07T01:55:00Z</cp:lastPrinted>
  <dcterms:modified xsi:type="dcterms:W3CDTF">2022-07-19T04:49:59Z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3027F02FA46242AF9EBF9DCBD8952BFF</vt:lpwstr>
  </property>
  <property fmtid="{D5CDD505-2E9C-101B-9397-08002B2CF9AE}" pid="4" name="commondata">
    <vt:lpwstr>eyJoZGlkIjoiMmFiN2M3MzQ3MTliN2VkYmVhN2U1YTc3M2RiNmNkYzIifQ==</vt:lpwstr>
  </property>
</Properties>
</file>