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jc w:val="center"/>
        <w:outlineLvl w:val="1"/>
        <w:rPr>
          <w:rFonts w:ascii="宋体" w:hAnsi="宋体"/>
          <w:b/>
          <w:bCs/>
          <w:sz w:val="32"/>
          <w:szCs w:val="30"/>
        </w:rPr>
      </w:pPr>
      <w:r>
        <w:rPr>
          <w:rFonts w:hint="eastAsia" w:ascii="宋体" w:hAnsi="宋体"/>
          <w:b/>
          <w:bCs/>
          <w:sz w:val="32"/>
          <w:szCs w:val="30"/>
        </w:rPr>
        <w:t>主要股东或出资人信息</w:t>
      </w:r>
    </w:p>
    <w:tbl>
      <w:tblPr>
        <w:tblStyle w:val="5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名称</w:t>
            </w: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（姓名）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统一社会信用代码</w:t>
            </w: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（身份证号）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出资方式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出资金额</w:t>
            </w: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（万元）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占全部股份比例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480" w:lineRule="exact"/>
        <w:ind w:left="720" w:hanging="720" w:hangingChars="300"/>
        <w:rPr>
          <w:rFonts w:ascii="Arial" w:hAnsi="Arial" w:cs="Arial"/>
          <w:sz w:val="24"/>
        </w:rPr>
      </w:pPr>
    </w:p>
    <w:p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注：1.</w:t>
      </w:r>
      <w:r>
        <w:rPr>
          <w:rFonts w:hint="eastAsia" w:ascii="Arial" w:hAnsi="Arial" w:cs="Arial"/>
          <w:sz w:val="24"/>
        </w:rPr>
        <w:t>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360" w:lineRule="auto"/>
        <w:ind w:left="720" w:hanging="720" w:hangingChars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hint="eastAsia" w:ascii="Arial" w:hAnsi="Arial" w:cs="Arial"/>
          <w:sz w:val="24"/>
        </w:rPr>
        <w:t>出资方式填写货币、实物、工艺产权和非专利技术、土地使用权等。</w:t>
      </w:r>
    </w:p>
    <w:p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hint="eastAsia" w:ascii="Arial" w:hAnsi="Arial" w:cs="Arial"/>
          <w:sz w:val="24"/>
        </w:rPr>
        <w:t>参选人应按照占全部股份比例从大到小依次逐个股东填写，股东数量多于</w:t>
      </w:r>
      <w:r>
        <w:rPr>
          <w:rFonts w:ascii="Arial" w:hAnsi="Arial" w:cs="Arial"/>
          <w:sz w:val="24"/>
        </w:rPr>
        <w:t>10</w:t>
      </w:r>
      <w:r>
        <w:rPr>
          <w:rFonts w:hint="eastAsia" w:ascii="Arial" w:hAnsi="Arial" w:cs="Arial"/>
          <w:sz w:val="24"/>
        </w:rPr>
        <w:t>个的，填写前</w:t>
      </w:r>
      <w:r>
        <w:rPr>
          <w:rFonts w:ascii="Arial" w:hAnsi="Arial" w:cs="Arial"/>
          <w:sz w:val="24"/>
        </w:rPr>
        <w:t>10</w:t>
      </w:r>
      <w:r>
        <w:rPr>
          <w:rFonts w:hint="eastAsia" w:ascii="Arial" w:hAnsi="Arial" w:cs="Arial"/>
          <w:sz w:val="24"/>
        </w:rPr>
        <w:t>名，不足</w:t>
      </w:r>
      <w:r>
        <w:rPr>
          <w:rFonts w:ascii="Arial" w:hAnsi="Arial" w:cs="Arial"/>
          <w:sz w:val="24"/>
        </w:rPr>
        <w:t>10</w:t>
      </w:r>
      <w:r>
        <w:rPr>
          <w:rFonts w:hint="eastAsia" w:ascii="Arial" w:hAnsi="Arial" w:cs="Arial"/>
          <w:sz w:val="24"/>
        </w:rPr>
        <w:t>个的全部填写。</w:t>
      </w:r>
    </w:p>
    <w:p>
      <w:pPr>
        <w:snapToGrid w:val="0"/>
        <w:spacing w:line="360" w:lineRule="auto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4.单位负责人为同一人或者存在控股、管理关系的不同单位，不得参加同一</w:t>
      </w:r>
      <w:r>
        <w:rPr>
          <w:rFonts w:hint="eastAsia" w:ascii="Arial" w:hAnsi="Arial" w:cs="Arial"/>
          <w:sz w:val="24"/>
          <w:lang w:val="en-US" w:eastAsia="zh-CN"/>
        </w:rPr>
        <w:t>临时采购项目投标。</w:t>
      </w:r>
    </w:p>
    <w:p>
      <w:pPr>
        <w:snapToGri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5.</w:t>
      </w:r>
      <w:r>
        <w:rPr>
          <w:rFonts w:hint="eastAsia" w:ascii="Arial" w:hAnsi="Arial" w:cs="Arial"/>
          <w:b/>
          <w:bCs/>
          <w:sz w:val="24"/>
        </w:rPr>
        <w:t>各单位应对应查询各自的信息报告，并将查询后的报告（结果）放置在本表后：</w:t>
      </w:r>
    </w:p>
    <w:p>
      <w:pPr>
        <w:snapToGri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1</w:t>
      </w:r>
      <w:r>
        <w:rPr>
          <w:rFonts w:hint="eastAsia" w:ascii="Arial" w:hAnsi="Arial" w:cs="Arial"/>
          <w:b/>
          <w:bCs/>
          <w:sz w:val="24"/>
        </w:rPr>
        <w:t>）企业单位查询网址：国家企业信用信息公示系统</w:t>
      </w:r>
      <w:r>
        <w:rPr>
          <w:rFonts w:ascii="Arial" w:hAnsi="Arial" w:cs="Arial"/>
          <w:b/>
          <w:bCs/>
          <w:sz w:val="24"/>
        </w:rPr>
        <w:t>http://www.gsxt.gov.cn</w:t>
      </w:r>
      <w:r>
        <w:rPr>
          <w:rFonts w:hint="eastAsia" w:ascii="Arial" w:hAnsi="Arial" w:cs="Arial"/>
          <w:b/>
          <w:bCs/>
          <w:sz w:val="24"/>
        </w:rPr>
        <w:t>；</w:t>
      </w:r>
    </w:p>
    <w:p>
      <w:pPr>
        <w:snapToGri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2</w:t>
      </w:r>
      <w:r>
        <w:rPr>
          <w:rFonts w:hint="eastAsia" w:ascii="Arial" w:hAnsi="Arial" w:cs="Arial"/>
          <w:b/>
          <w:bCs/>
          <w:sz w:val="24"/>
        </w:rPr>
        <w:t>）事业单位查询网址：全国事业单位登记查询系统</w:t>
      </w:r>
      <w:r>
        <w:rPr>
          <w:rFonts w:ascii="Arial" w:hAnsi="Arial" w:cs="Arial"/>
          <w:b/>
          <w:bCs/>
          <w:sz w:val="24"/>
        </w:rPr>
        <w:t>http://www.gjsy.gov.cn/cxzl</w:t>
      </w:r>
      <w:r>
        <w:rPr>
          <w:rFonts w:hint="eastAsia" w:ascii="Arial" w:hAnsi="Arial" w:cs="Arial"/>
          <w:b/>
          <w:bCs/>
          <w:sz w:val="24"/>
        </w:rPr>
        <w:t>；</w:t>
      </w:r>
    </w:p>
    <w:p>
      <w:pPr>
        <w:snapToGri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3</w:t>
      </w:r>
      <w:r>
        <w:rPr>
          <w:rFonts w:hint="eastAsia" w:ascii="Arial" w:hAnsi="Arial" w:cs="Arial"/>
          <w:b/>
          <w:bCs/>
          <w:sz w:val="24"/>
        </w:rPr>
        <w:t>）团体、社会组织查询网址：中国社会组织公共服务平台</w:t>
      </w:r>
      <w:r>
        <w:rPr>
          <w:rFonts w:ascii="Arial" w:hAnsi="Arial" w:cs="Arial"/>
          <w:b/>
          <w:bCs/>
          <w:sz w:val="24"/>
        </w:rPr>
        <w:t>www.chinanpo.gov.cn/search</w:t>
      </w:r>
      <w:r>
        <w:rPr>
          <w:rFonts w:hint="eastAsia" w:ascii="Arial" w:hAnsi="Arial" w:cs="Arial"/>
          <w:b/>
          <w:bCs/>
          <w:sz w:val="24"/>
        </w:rPr>
        <w:t>；</w:t>
      </w:r>
    </w:p>
    <w:p>
      <w:pPr>
        <w:snapToGri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4</w:t>
      </w:r>
      <w:r>
        <w:rPr>
          <w:rFonts w:hint="eastAsia" w:ascii="Arial" w:hAnsi="Arial" w:cs="Arial"/>
          <w:b/>
          <w:bCs/>
          <w:sz w:val="24"/>
        </w:rPr>
        <w:t>）个人参选无需提供查询信息。</w:t>
      </w:r>
    </w:p>
    <w:p>
      <w:pPr>
        <w:snapToGri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6.参选人需如实填写以上表中内容，如发现参选人所填信息与实际不符的，采购人有权按照实际查询内容进行修正。</w:t>
      </w:r>
    </w:p>
    <w:p>
      <w:pPr>
        <w:spacing w:line="400" w:lineRule="exact"/>
        <w:ind w:firstLine="3840" w:firstLineChars="16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参选人</w:t>
      </w:r>
      <w:r>
        <w:rPr>
          <w:rFonts w:ascii="Arial" w:hAnsi="Arial" w:cs="Arial"/>
          <w:sz w:val="24"/>
        </w:rPr>
        <w:t>公章：</w:t>
      </w:r>
      <w:r>
        <w:rPr>
          <w:rFonts w:ascii="Arial" w:hAnsi="Arial" w:cs="Arial"/>
          <w:sz w:val="24"/>
          <w:u w:val="single"/>
        </w:rPr>
        <w:t xml:space="preserve">                     </w:t>
      </w:r>
    </w:p>
    <w:p>
      <w:pPr>
        <w:spacing w:line="400" w:lineRule="exact"/>
        <w:ind w:firstLine="3840" w:firstLineChars="160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日      期：</w:t>
      </w:r>
      <w:r>
        <w:rPr>
          <w:rFonts w:ascii="Arial" w:hAnsi="Arial" w:cs="Arial"/>
          <w:sz w:val="24"/>
          <w:u w:val="single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outlineLvl w:val="1"/>
    </w:pPr>
    <w:rPr>
      <w:rFonts w:ascii="黑体" w:eastAsia="黑体"/>
      <w:sz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2022-03-22T06:51:53Z</dcterms:created>
  <dc:creator>Administrator</dc:creator>
  <cp:lastModifiedBy>呵呵dota君1412826693</cp:lastModifiedBy>
  <dcterms:modified xsi:type="dcterms:W3CDTF">2022-03-22T06:52:08Z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6E44D4D339C74048B7EDB826FA96AFC5</vt:lpwstr>
  </property>
</Properties>
</file>