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="141" w:after="0"/>
        <w:jc w:val="center"/>
        <w:rPr>
          <w:rFonts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十二项细胞因子招标参数</w:t>
      </w:r>
    </w:p>
    <w:p>
      <w:pPr>
        <w:pStyle w:val="8"/>
        <w:adjustRightInd w:val="0"/>
        <w:snapToGrid w:val="0"/>
        <w:spacing w:before="141" w:after="0"/>
        <w:jc w:val="center"/>
        <w:rPr>
          <w:rFonts w:ascii="宋体" w:hAnsi="宋体" w:eastAsia="宋体" w:cs="宋体"/>
          <w:color w:val="000000"/>
          <w:sz w:val="30"/>
          <w:szCs w:val="30"/>
          <w:lang w:eastAsia="zh-CN"/>
        </w:rPr>
      </w:pPr>
    </w:p>
    <w:p>
      <w:pPr>
        <w:pStyle w:val="8"/>
        <w:widowControl w:val="0"/>
        <w:adjustRightInd w:val="0"/>
        <w:snapToGrid w:val="0"/>
        <w:spacing w:before="141" w:after="0" w:line="276" w:lineRule="auto"/>
        <w:ind w:left="240" w:hanging="240" w:hangingChars="10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用途：检测范围应包括人体主要细胞群体的主要因子，为临床医生提供患者免疫、炎症和造血等疾病的辅助诊断信息。</w:t>
      </w:r>
    </w:p>
    <w:p>
      <w:pPr>
        <w:pStyle w:val="8"/>
        <w:widowControl w:val="0"/>
        <w:adjustRightInd w:val="0"/>
        <w:snapToGrid w:val="0"/>
        <w:spacing w:before="141" w:after="0" w:line="276" w:lineRule="auto"/>
        <w:ind w:left="240" w:hanging="240" w:hangingChars="10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试剂盒：12项细胞因子检测试剂盒。细胞因子可组合成不同的项目组合。</w:t>
      </w:r>
    </w:p>
    <w:p>
      <w:pPr>
        <w:pStyle w:val="8"/>
        <w:widowControl w:val="0"/>
        <w:adjustRightInd w:val="0"/>
        <w:snapToGrid w:val="0"/>
        <w:spacing w:before="141" w:after="0" w:line="276" w:lineRule="auto"/>
        <w:ind w:left="240" w:hanging="240" w:hangingChars="10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检测技术：流式细胞仪多重微球流式免疫荧光发光法。</w:t>
      </w:r>
    </w:p>
    <w:p>
      <w:pPr>
        <w:pStyle w:val="8"/>
        <w:widowControl w:val="0"/>
        <w:adjustRightInd w:val="0"/>
        <w:snapToGrid w:val="0"/>
        <w:spacing w:before="141" w:after="0" w:line="276" w:lineRule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适用仪器： 适用于所有流式细胞仪。</w:t>
      </w:r>
    </w:p>
    <w:p>
      <w:pPr>
        <w:pStyle w:val="8"/>
        <w:widowControl w:val="0"/>
        <w:adjustRightInd w:val="0"/>
        <w:snapToGrid w:val="0"/>
        <w:spacing w:before="141" w:after="0" w:line="276" w:lineRule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最低检测限：≥2.4pg/ml。</w:t>
      </w:r>
    </w:p>
    <w:p>
      <w:pPr>
        <w:pStyle w:val="8"/>
        <w:widowControl w:val="0"/>
        <w:adjustRightInd w:val="0"/>
        <w:snapToGrid w:val="0"/>
        <w:spacing w:before="141" w:after="0" w:line="276" w:lineRule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准确度：将2个浓度点的参考品作为样本按照说明书的步骤进行检测，其测量结果相对偏差应当在理论值的±5%范围内。</w:t>
      </w:r>
    </w:p>
    <w:p>
      <w:pPr>
        <w:pStyle w:val="8"/>
        <w:widowControl w:val="0"/>
        <w:adjustRightInd w:val="0"/>
        <w:snapToGrid w:val="0"/>
        <w:spacing w:before="141" w:after="0" w:line="276" w:lineRule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重复性：变异系数（</w:t>
      </w:r>
      <w:r>
        <w:rPr>
          <w:rFonts w:ascii="Times New Roman" w:hAnsi="Times New Roman" w:eastAsia="宋体" w:cs="Times New Roman"/>
          <w:spacing w:val="1"/>
          <w:sz w:val="24"/>
          <w:szCs w:val="24"/>
          <w:lang w:eastAsia="zh-CN"/>
        </w:rPr>
        <w:t>CV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）≤15%。</w:t>
      </w:r>
    </w:p>
    <w:p>
      <w:pPr>
        <w:pStyle w:val="8"/>
        <w:widowControl w:val="0"/>
        <w:adjustRightInd w:val="0"/>
        <w:snapToGrid w:val="0"/>
        <w:spacing w:before="141" w:after="0" w:line="276" w:lineRule="auto"/>
        <w:ind w:left="240" w:hanging="240" w:hangingChars="10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8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特异性：样本甘油三酯浓度≤10mmol/L、血红蛋白浓度≤5.0mg/mL、胆红素浓度≤258umol/L 的干扰偏差≤10%。</w:t>
      </w:r>
    </w:p>
    <w:p>
      <w:pPr>
        <w:pStyle w:val="8"/>
        <w:widowControl w:val="0"/>
        <w:adjustRightInd w:val="0"/>
        <w:snapToGrid w:val="0"/>
        <w:spacing w:before="141" w:after="0" w:line="276" w:lineRule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试剂盒各细胞因子相关系数（r）均≥ 0.9500。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10.</w:t>
      </w:r>
      <w:r>
        <w:rPr>
          <w:sz w:val="24"/>
        </w:rPr>
        <w:t xml:space="preserve"> </w:t>
      </w:r>
      <w:r>
        <w:rPr>
          <w:rFonts w:hint="eastAsia"/>
          <w:kern w:val="0"/>
          <w:sz w:val="24"/>
        </w:rPr>
        <w:t>具有与</w:t>
      </w:r>
      <w:r>
        <w:rPr>
          <w:rFonts w:hint="eastAsia" w:ascii="宋体" w:hAnsi="宋体"/>
          <w:sz w:val="24"/>
        </w:rPr>
        <w:t>试剂配套的前处理仪。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1.</w:t>
      </w:r>
      <w:r>
        <w:rPr>
          <w:sz w:val="24"/>
        </w:rPr>
        <w:t xml:space="preserve"> 有效期：</w:t>
      </w:r>
      <w:r>
        <w:rPr>
          <w:kern w:val="0"/>
          <w:sz w:val="24"/>
        </w:rPr>
        <w:t>2~8</w:t>
      </w:r>
      <w:r>
        <w:rPr>
          <w:rFonts w:hint="eastAsia"/>
          <w:kern w:val="0"/>
          <w:sz w:val="24"/>
        </w:rPr>
        <w:t>℃避光保存，</w:t>
      </w:r>
      <w:r>
        <w:rPr>
          <w:kern w:val="0"/>
          <w:sz w:val="24"/>
        </w:rPr>
        <w:t>有</w:t>
      </w:r>
      <w:r>
        <w:rPr>
          <w:sz w:val="24"/>
        </w:rPr>
        <w:t>效期至少12个月，开瓶后</w:t>
      </w:r>
      <w:r>
        <w:rPr>
          <w:rFonts w:hint="eastAsia"/>
          <w:sz w:val="24"/>
        </w:rPr>
        <w:t>至少</w:t>
      </w:r>
      <w:r>
        <w:rPr>
          <w:sz w:val="24"/>
        </w:rPr>
        <w:t>保存 30天。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参考</w:t>
      </w:r>
      <w:r>
        <w:rPr>
          <w:sz w:val="24"/>
        </w:rPr>
        <w:t>规格：50T或100T/盒。</w:t>
      </w:r>
    </w:p>
    <w:p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rFonts w:hint="eastAsia"/>
          <w:sz w:val="24"/>
          <w:lang w:eastAsia="zh-CN"/>
        </w:rPr>
        <w:t>预计年用量：</w:t>
      </w:r>
      <w:r>
        <w:rPr>
          <w:rFonts w:hint="eastAsia"/>
          <w:sz w:val="24"/>
        </w:rPr>
        <w:t>500个样本。</w:t>
      </w:r>
      <w:bookmarkStart w:id="0" w:name="_GoBack"/>
      <w:bookmarkEnd w:id="0"/>
    </w:p>
    <w:p>
      <w:pPr>
        <w:numPr>
          <w:numId w:val="0"/>
        </w:numPr>
        <w:spacing w:line="276" w:lineRule="auto"/>
        <w:rPr>
          <w:sz w:val="24"/>
        </w:rPr>
      </w:pPr>
      <w:r>
        <w:rPr>
          <w:rFonts w:hint="eastAsia" w:ascii="宋体" w:hAnsi="宋体"/>
          <w:szCs w:val="22"/>
        </w:rPr>
        <w:t>★</w:t>
      </w:r>
      <w:r>
        <w:rPr>
          <w:rFonts w:hint="eastAsia" w:ascii="宋体" w:hAnsi="宋体"/>
          <w:szCs w:val="22"/>
          <w:lang w:val="en-US" w:eastAsia="zh-CN"/>
        </w:rPr>
        <w:t>14.</w:t>
      </w:r>
      <w:r>
        <w:rPr>
          <w:rFonts w:hint="eastAsia" w:ascii="宋体" w:hAnsi="宋体" w:cs="宋体"/>
          <w:kern w:val="0"/>
          <w:szCs w:val="22"/>
        </w:rPr>
        <w:t>合作期内免费提供第三方国际知名品牌质控品</w:t>
      </w:r>
      <w:r>
        <w:rPr>
          <w:rFonts w:hint="eastAsia" w:ascii="宋体" w:hAnsi="宋体" w:cs="宋体"/>
          <w:kern w:val="0"/>
          <w:szCs w:val="22"/>
          <w:lang w:eastAsia="zh-CN"/>
        </w:rPr>
        <w:t>和</w:t>
      </w:r>
      <w:r>
        <w:rPr>
          <w:rFonts w:ascii="宋体" w:hAnsi="宋体" w:cs="宋体"/>
          <w:kern w:val="0"/>
          <w:szCs w:val="22"/>
        </w:rPr>
        <w:t>校准品</w:t>
      </w:r>
      <w:r>
        <w:rPr>
          <w:rFonts w:hint="eastAsia" w:ascii="宋体" w:hAnsi="宋体" w:cs="宋体"/>
          <w:kern w:val="0"/>
          <w:szCs w:val="22"/>
        </w:rPr>
        <w:t>（</w:t>
      </w:r>
      <w:r>
        <w:rPr>
          <w:rFonts w:hint="eastAsia"/>
          <w:szCs w:val="20"/>
        </w:rPr>
        <w:t>提供承诺函）。</w:t>
      </w:r>
    </w:p>
    <w:p>
      <w:pPr>
        <w:numPr>
          <w:numId w:val="0"/>
        </w:numPr>
        <w:spacing w:line="276" w:lineRule="auto"/>
        <w:rPr>
          <w:sz w:val="24"/>
        </w:rPr>
      </w:pPr>
      <w:r>
        <w:rPr>
          <w:rFonts w:hint="eastAsia" w:ascii="宋体" w:hAnsi="宋体"/>
          <w:szCs w:val="22"/>
        </w:rPr>
        <w:t>★</w:t>
      </w:r>
      <w:r>
        <w:rPr>
          <w:rFonts w:hint="eastAsia" w:ascii="宋体" w:hAnsi="宋体"/>
          <w:szCs w:val="22"/>
          <w:lang w:val="en-US" w:eastAsia="zh-CN"/>
        </w:rPr>
        <w:t>15.</w:t>
      </w:r>
      <w:r>
        <w:rPr>
          <w:rFonts w:hint="eastAsia"/>
          <w:szCs w:val="20"/>
        </w:rPr>
        <w:t>投标人承担与院方</w:t>
      </w:r>
      <w:r>
        <w:rPr>
          <w:szCs w:val="20"/>
        </w:rPr>
        <w:t>LIS</w:t>
      </w:r>
      <w:r>
        <w:rPr>
          <w:rFonts w:hint="eastAsia"/>
          <w:szCs w:val="20"/>
        </w:rPr>
        <w:t>对接、安装调试的费用并负责协助完成联接工作（提供承诺函）。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E3168"/>
    <w:multiLevelType w:val="singleLevel"/>
    <w:tmpl w:val="2B6E3168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5B"/>
    <w:rsid w:val="000249CE"/>
    <w:rsid w:val="000B4C17"/>
    <w:rsid w:val="002F2AB6"/>
    <w:rsid w:val="00380D0C"/>
    <w:rsid w:val="00737820"/>
    <w:rsid w:val="00845A7F"/>
    <w:rsid w:val="008476DF"/>
    <w:rsid w:val="0086115B"/>
    <w:rsid w:val="00917070"/>
    <w:rsid w:val="009D458C"/>
    <w:rsid w:val="009D6D85"/>
    <w:rsid w:val="00B22E33"/>
    <w:rsid w:val="00B60798"/>
    <w:rsid w:val="00BB1BD3"/>
    <w:rsid w:val="00BB6BB1"/>
    <w:rsid w:val="00BE148C"/>
    <w:rsid w:val="00D33E09"/>
    <w:rsid w:val="0A8031FC"/>
    <w:rsid w:val="298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Normal_0"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Lines>4</Lines>
  <Paragraphs>1</Paragraphs>
  <TotalTime>1</TotalTime>
  <ScaleCrop>false</ScaleCrop>
  <LinksUpToDate>false</LinksUpToDate>
  <CharactersWithSpaces>648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2022-01-18T08:47:00Z</dcterms:created>
  <dc:creator>张 波克</dc:creator>
  <cp:lastModifiedBy>赵飞</cp:lastModifiedBy>
  <dcterms:modified xsi:type="dcterms:W3CDTF">2022-02-18T07:36:10Z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81D64BB20095428DB71C09DF26E119AB</vt:lpwstr>
  </property>
</Properties>
</file>