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中医定向透药治疗仪 技术参数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一、设备参数</w:t>
      </w:r>
    </w:p>
    <w:p>
      <w:pPr>
        <w:spacing w:line="360" w:lineRule="auto"/>
        <w:jc w:val="left"/>
        <w:rPr>
          <w:rFonts w:ascii="宋体" w:hAnsi="宋体" w:eastAsia="宋体" w:cs="宋体"/>
          <w:color w:val="0000FF"/>
          <w:sz w:val="24"/>
        </w:rPr>
      </w:pPr>
      <w:r>
        <w:rPr>
          <w:rFonts w:hint="eastAsia" w:ascii="宋体" w:hAnsi="宋体" w:eastAsia="宋体" w:cs="宋体"/>
          <w:sz w:val="24"/>
        </w:rPr>
        <w:t>产品安全分类：</w:t>
      </w:r>
      <w:r>
        <w:rPr>
          <w:rFonts w:hint="eastAsia" w:ascii="宋体" w:hAnsi="宋体" w:eastAsia="宋体" w:cs="宋体"/>
          <w:color w:val="auto"/>
          <w:sz w:val="24"/>
        </w:rPr>
        <w:t>II类BF型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输出电流500欧负载，输出电流有效值小于等于100mA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中频频率2000±15%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低频调制频率75±15%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调幅度：调幅度为1，误差±10%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温热电极温度小于等于85℃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治疗时间</w:t>
      </w:r>
      <w:r>
        <w:rPr>
          <w:rFonts w:hint="eastAsia" w:ascii="宋体" w:hAnsi="宋体" w:eastAsia="宋体" w:cs="宋体"/>
          <w:color w:val="auto"/>
          <w:sz w:val="24"/>
        </w:rPr>
        <w:t>：默认25min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0-60分钟可调，治疗完成有提示音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过载保护：有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具备输出自动闭锁保护功能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输出通道：双通道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温度可调：25℃-85℃，大于等于5档。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按摩导入强度大于等于99挡可调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调制方式：正玄波、三角波、方波、锯齿波等波幅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磁疗功能：动态磁场，调节体内磁平衡。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工作状态以中文显示在液晶屏幕上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电子治疗处方：微电脑自动组合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使用寿命：主机使用寿命不低于6年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输出波形：中频按摩为对称波，导入为非对称波</w:t>
      </w:r>
    </w:p>
    <w:p>
      <w:pPr>
        <w:rPr>
          <w:rStyle w:val="4"/>
          <w:b/>
          <w:bCs/>
          <w:sz w:val="32"/>
          <w:szCs w:val="32"/>
        </w:rPr>
      </w:pPr>
      <w:r>
        <w:rPr>
          <w:rStyle w:val="4"/>
          <w:rFonts w:hint="eastAsia"/>
          <w:b/>
          <w:bCs/>
          <w:sz w:val="32"/>
          <w:szCs w:val="32"/>
        </w:rPr>
        <w:t>二、售后服务要求：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2E06"/>
    <w:rsid w:val="19E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692</Characters>
  <Paragraphs>44</Paragraphs>
  <TotalTime>1</TotalTime>
  <ScaleCrop>false</ScaleCrop>
  <LinksUpToDate>false</LinksUpToDate>
  <CharactersWithSpaces>693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王娜艳</dc:creator>
  <cp:lastModifiedBy>Administrator</cp:lastModifiedBy>
  <dcterms:modified xsi:type="dcterms:W3CDTF">2021-07-15T00:53:13Z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8AD979EA37E942518B0C6A7DD59482A3</vt:lpwstr>
  </property>
</Properties>
</file>