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879"/>
        <w:gridCol w:w="6854"/>
      </w:tblGrid>
      <w:tr w:rsidR="0033224B" w:rsidRPr="00051BB3" w:rsidTr="00A11EE9">
        <w:trPr>
          <w:trHeight w:val="510"/>
        </w:trPr>
        <w:tc>
          <w:tcPr>
            <w:tcW w:w="789" w:type="dxa"/>
            <w:noWrap/>
          </w:tcPr>
          <w:p w:rsidR="0033224B" w:rsidRPr="00051BB3" w:rsidRDefault="0033224B" w:rsidP="00DA4B8F"/>
        </w:tc>
        <w:tc>
          <w:tcPr>
            <w:tcW w:w="879" w:type="dxa"/>
            <w:noWrap/>
          </w:tcPr>
          <w:p w:rsidR="0033224B" w:rsidRPr="00B75D48" w:rsidRDefault="0033224B" w:rsidP="00DA4B8F">
            <w:pPr>
              <w:rPr>
                <w:color w:val="FF0000"/>
              </w:rPr>
            </w:pPr>
          </w:p>
        </w:tc>
        <w:tc>
          <w:tcPr>
            <w:tcW w:w="6854" w:type="dxa"/>
            <w:noWrap/>
          </w:tcPr>
          <w:p w:rsidR="0033224B" w:rsidRPr="00B75D48" w:rsidRDefault="007D7109" w:rsidP="007D7109">
            <w:pPr>
              <w:rPr>
                <w:rFonts w:hint="eastAsia"/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化学发光免疫分析</w:t>
            </w:r>
            <w:r>
              <w:rPr>
                <w:color w:val="FF0000"/>
                <w:sz w:val="30"/>
                <w:szCs w:val="30"/>
              </w:rPr>
              <w:t>试剂</w:t>
            </w:r>
            <w:r>
              <w:rPr>
                <w:rFonts w:hint="eastAsia"/>
                <w:color w:val="FF0000"/>
                <w:sz w:val="30"/>
                <w:szCs w:val="30"/>
              </w:rPr>
              <w:t>及配套</w:t>
            </w:r>
            <w:r w:rsidR="001440FC">
              <w:rPr>
                <w:rFonts w:hint="eastAsia"/>
                <w:color w:val="FF0000"/>
                <w:sz w:val="30"/>
                <w:szCs w:val="30"/>
              </w:rPr>
              <w:t>流水线</w:t>
            </w:r>
            <w:r>
              <w:rPr>
                <w:color w:val="FF0000"/>
                <w:sz w:val="30"/>
                <w:szCs w:val="30"/>
              </w:rPr>
              <w:t>设备</w:t>
            </w:r>
          </w:p>
        </w:tc>
      </w:tr>
      <w:tr w:rsidR="0033224B" w:rsidRPr="00051BB3" w:rsidTr="00A11EE9">
        <w:trPr>
          <w:trHeight w:val="270"/>
        </w:trPr>
        <w:tc>
          <w:tcPr>
            <w:tcW w:w="789" w:type="dxa"/>
            <w:noWrap/>
          </w:tcPr>
          <w:p w:rsidR="0033224B" w:rsidRPr="00051BB3" w:rsidRDefault="0033224B" w:rsidP="00DA4B8F">
            <w:pPr>
              <w:rPr>
                <w:b/>
                <w:bCs/>
              </w:rPr>
            </w:pPr>
            <w:r w:rsidRPr="00051BB3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879" w:type="dxa"/>
            <w:noWrap/>
          </w:tcPr>
          <w:p w:rsidR="0033224B" w:rsidRPr="00051BB3" w:rsidRDefault="0033224B" w:rsidP="00DA4B8F">
            <w:pPr>
              <w:rPr>
                <w:b/>
                <w:bCs/>
              </w:rPr>
            </w:pPr>
            <w:r w:rsidRPr="00051BB3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854" w:type="dxa"/>
            <w:noWrap/>
          </w:tcPr>
          <w:p w:rsidR="0033224B" w:rsidRPr="00B55153" w:rsidRDefault="0033224B" w:rsidP="00DA4B8F">
            <w:r w:rsidRPr="00B55153">
              <w:rPr>
                <w:rFonts w:hint="eastAsia"/>
              </w:rPr>
              <w:t>技术要求</w:t>
            </w:r>
          </w:p>
        </w:tc>
      </w:tr>
      <w:tr w:rsidR="001440FC" w:rsidRPr="00051BB3" w:rsidTr="00A11EE9">
        <w:trPr>
          <w:trHeight w:val="570"/>
        </w:trPr>
        <w:tc>
          <w:tcPr>
            <w:tcW w:w="789" w:type="dxa"/>
            <w:vMerge w:val="restart"/>
          </w:tcPr>
          <w:p w:rsidR="001440FC" w:rsidRPr="00051BB3" w:rsidRDefault="001440FC" w:rsidP="001440FC">
            <w:r w:rsidRPr="00051BB3">
              <w:t>1</w:t>
            </w:r>
            <w:r w:rsidRPr="00051BB3">
              <w:rPr>
                <w:rFonts w:hint="eastAsia"/>
              </w:rPr>
              <w:t>、系统整体要求</w:t>
            </w:r>
          </w:p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1.1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>
              <w:rPr>
                <w:rFonts w:hint="eastAsia"/>
              </w:rPr>
              <w:t>流水线系统须全程采用环形双向循环轨道</w:t>
            </w:r>
            <w:r w:rsidRPr="00051BB3">
              <w:rPr>
                <w:rFonts w:hint="eastAsia"/>
              </w:rPr>
              <w:t>连</w:t>
            </w:r>
            <w:r>
              <w:rPr>
                <w:rFonts w:hint="eastAsia"/>
              </w:rPr>
              <w:t>接</w:t>
            </w:r>
            <w:r w:rsidRPr="00051BB3">
              <w:t xml:space="preserve">, </w:t>
            </w:r>
            <w:r w:rsidRPr="00051BB3">
              <w:rPr>
                <w:rFonts w:hint="eastAsia"/>
              </w:rPr>
              <w:t>样本全程在轨单管运输、单管处理、单管检测，独立管理</w:t>
            </w:r>
            <w:r>
              <w:rPr>
                <w:rFonts w:hint="eastAsia"/>
              </w:rPr>
              <w:t>。</w:t>
            </w:r>
          </w:p>
        </w:tc>
      </w:tr>
      <w:tr w:rsidR="001440FC" w:rsidRPr="00051BB3" w:rsidTr="00A11EE9">
        <w:trPr>
          <w:trHeight w:val="54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1.2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流水线上采用无线射频技术识别、分配、管理样本，具有全程实时样本管理功能。</w:t>
            </w:r>
            <w:bookmarkStart w:id="0" w:name="_GoBack"/>
            <w:bookmarkEnd w:id="0"/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1.3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流水线处理能力应具有可扩展性，线上可连接离心机模块</w:t>
            </w:r>
            <w:r>
              <w:rPr>
                <w:rFonts w:hint="eastAsia"/>
              </w:rPr>
              <w:t>，</w:t>
            </w:r>
            <w:r w:rsidRPr="00051BB3">
              <w:rPr>
                <w:rFonts w:hint="eastAsia"/>
              </w:rPr>
              <w:t>无数量限制。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1.4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>
              <w:rPr>
                <w:rFonts w:hint="eastAsia"/>
              </w:rPr>
              <w:t>流水线系统</w:t>
            </w:r>
            <w:r w:rsidRPr="00B55153">
              <w:rPr>
                <w:rFonts w:hint="eastAsia"/>
              </w:rPr>
              <w:t>直接</w:t>
            </w:r>
            <w:r w:rsidRPr="00051BB3">
              <w:rPr>
                <w:rFonts w:hint="eastAsia"/>
              </w:rPr>
              <w:t>使用原始样本管</w:t>
            </w:r>
            <w:r>
              <w:rPr>
                <w:rFonts w:hint="eastAsia"/>
              </w:rPr>
              <w:t>上机</w:t>
            </w:r>
            <w:r w:rsidRPr="00051BB3">
              <w:rPr>
                <w:rFonts w:hint="eastAsia"/>
              </w:rPr>
              <w:t>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1.5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轨道运行速度</w:t>
            </w:r>
            <w:r>
              <w:rPr>
                <w:rFonts w:hint="eastAsia"/>
              </w:rPr>
              <w:t>：≥</w:t>
            </w:r>
            <w:r>
              <w:rPr>
                <w:rFonts w:hint="eastAsia"/>
              </w:rPr>
              <w:t xml:space="preserve"> 4</w:t>
            </w:r>
            <w:r w:rsidRPr="00051BB3">
              <w:t>,000</w:t>
            </w:r>
            <w:r w:rsidRPr="00051BB3">
              <w:rPr>
                <w:rFonts w:hint="eastAsia"/>
              </w:rPr>
              <w:t>管</w:t>
            </w:r>
            <w:r w:rsidRPr="00051BB3">
              <w:t>/</w:t>
            </w:r>
            <w:r w:rsidRPr="00051BB3">
              <w:rPr>
                <w:rFonts w:hint="eastAsia"/>
              </w:rPr>
              <w:t>小时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1.6</w:t>
            </w:r>
          </w:p>
        </w:tc>
        <w:tc>
          <w:tcPr>
            <w:tcW w:w="6854" w:type="dxa"/>
            <w:noWrap/>
          </w:tcPr>
          <w:p w:rsidR="001440FC" w:rsidRPr="00E60977" w:rsidRDefault="001440FC" w:rsidP="001440FC">
            <w:r w:rsidRPr="00E60977">
              <w:rPr>
                <w:rFonts w:hint="eastAsia"/>
              </w:rPr>
              <w:t>流</w:t>
            </w:r>
            <w:r w:rsidRPr="00E60977">
              <w:rPr>
                <w:rFonts w:hint="eastAsia"/>
              </w:rPr>
              <w:t>水线系统可同时服务在线和非在线的分析仪。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 w:val="restart"/>
          </w:tcPr>
          <w:p w:rsidR="001440FC" w:rsidRPr="00051BB3" w:rsidRDefault="001440FC" w:rsidP="001440FC">
            <w:r w:rsidRPr="00051BB3">
              <w:t>2</w:t>
            </w:r>
            <w:r w:rsidRPr="00051BB3">
              <w:rPr>
                <w:rFonts w:hint="eastAsia"/>
              </w:rPr>
              <w:t>、样本前后处理单元要求</w:t>
            </w:r>
          </w:p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2.1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样本上下载模块的综合处理速度≥</w:t>
            </w:r>
            <w:r>
              <w:rPr>
                <w:rFonts w:hint="eastAsia"/>
              </w:rPr>
              <w:t>8</w:t>
            </w:r>
            <w:r w:rsidRPr="00051BB3">
              <w:t>00</w:t>
            </w:r>
            <w:r w:rsidRPr="00051BB3">
              <w:rPr>
                <w:rFonts w:hint="eastAsia"/>
              </w:rPr>
              <w:t>管</w:t>
            </w:r>
            <w:r w:rsidRPr="00051BB3">
              <w:t>/</w:t>
            </w:r>
            <w:r w:rsidRPr="00051BB3">
              <w:rPr>
                <w:rFonts w:hint="eastAsia"/>
              </w:rPr>
              <w:t>小时，具备连续进样功能和自动重测功能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2.2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进样模块能随时插入急诊样本，优先处理，优先报告结果。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2.3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条码阅读器可识别各种国际标</w:t>
            </w:r>
            <w:r w:rsidR="003440C8">
              <w:rPr>
                <w:rFonts w:hint="eastAsia"/>
              </w:rPr>
              <w:t>准条码，根据条码信息自动规划样本路径，且对错误条码或不清晰条码</w:t>
            </w:r>
            <w:r w:rsidRPr="00051BB3">
              <w:rPr>
                <w:rFonts w:hint="eastAsia"/>
              </w:rPr>
              <w:t>有报警提示功能。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2.4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单模块开盖能力≥</w:t>
            </w:r>
            <w:r w:rsidRPr="00051BB3">
              <w:t>700</w:t>
            </w:r>
            <w:r w:rsidRPr="00051BB3">
              <w:rPr>
                <w:rFonts w:hint="eastAsia"/>
              </w:rPr>
              <w:t>管</w:t>
            </w:r>
            <w:r w:rsidRPr="00051BB3">
              <w:t>/</w:t>
            </w:r>
            <w:r w:rsidRPr="00051BB3">
              <w:rPr>
                <w:rFonts w:hint="eastAsia"/>
              </w:rPr>
              <w:t>小时。</w:t>
            </w:r>
          </w:p>
        </w:tc>
      </w:tr>
      <w:tr w:rsidR="001440FC" w:rsidRPr="00051BB3" w:rsidTr="00A11EE9">
        <w:trPr>
          <w:trHeight w:val="51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>
              <w:rPr>
                <w:rFonts w:ascii="等线" w:eastAsia="等线" w:hAnsi="等线" w:hint="eastAsia"/>
              </w:rPr>
              <w:t>★</w:t>
            </w:r>
            <w:r w:rsidRPr="00051BB3">
              <w:t>2.5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>
              <w:rPr>
                <w:rFonts w:hint="eastAsia"/>
              </w:rPr>
              <w:t>离心机直接连接轨道，</w:t>
            </w:r>
            <w:r w:rsidRPr="00051BB3">
              <w:rPr>
                <w:rFonts w:hint="eastAsia"/>
              </w:rPr>
              <w:t>在线离心机须为低温离心机</w:t>
            </w:r>
            <w:r w:rsidRPr="00B55153">
              <w:rPr>
                <w:rFonts w:hint="eastAsia"/>
              </w:rPr>
              <w:t>≥</w:t>
            </w:r>
            <w:r w:rsidRPr="00B55153">
              <w:rPr>
                <w:rFonts w:hint="eastAsia"/>
              </w:rPr>
              <w:t>2</w:t>
            </w:r>
            <w:r w:rsidRPr="00B55153">
              <w:rPr>
                <w:rFonts w:hint="eastAsia"/>
              </w:rPr>
              <w:t>台</w:t>
            </w:r>
            <w:r w:rsidRPr="00051BB3">
              <w:rPr>
                <w:rFonts w:hint="eastAsia"/>
              </w:rPr>
              <w:t>，在线离心处理能力</w:t>
            </w:r>
            <w:r w:rsidRPr="00B55153">
              <w:rPr>
                <w:rFonts w:hint="eastAsia"/>
              </w:rPr>
              <w:t>≥</w:t>
            </w:r>
            <w:r w:rsidRPr="00B55153">
              <w:rPr>
                <w:rFonts w:hint="eastAsia"/>
              </w:rPr>
              <w:t>50</w:t>
            </w:r>
            <w:r w:rsidRPr="00B55153">
              <w:t>0</w:t>
            </w:r>
            <w:r w:rsidRPr="00051BB3">
              <w:rPr>
                <w:rFonts w:hint="eastAsia"/>
              </w:rPr>
              <w:t>管</w:t>
            </w:r>
            <w:r w:rsidRPr="00051BB3">
              <w:t>/</w:t>
            </w:r>
            <w:r w:rsidRPr="00051BB3">
              <w:rPr>
                <w:rFonts w:hint="eastAsia"/>
              </w:rPr>
              <w:t>小时，同时</w:t>
            </w:r>
            <w:r>
              <w:rPr>
                <w:rFonts w:hint="eastAsia"/>
              </w:rPr>
              <w:t>能</w:t>
            </w:r>
            <w:r w:rsidRPr="00051BB3">
              <w:rPr>
                <w:rFonts w:hint="eastAsia"/>
              </w:rPr>
              <w:t>自定义设置离心参数。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2.6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具有单样本直接离心，自动平衡功能，同时离心机能兼容各种尺寸的样本管；对于无需离心样本可自动跳过离心模块</w:t>
            </w:r>
            <w:r>
              <w:rPr>
                <w:rFonts w:hint="eastAsia"/>
              </w:rPr>
              <w:t>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2.7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提供错误样本管的存储区域</w:t>
            </w:r>
            <w:r>
              <w:rPr>
                <w:rFonts w:hint="eastAsia"/>
              </w:rPr>
              <w:t>。</w:t>
            </w:r>
          </w:p>
        </w:tc>
      </w:tr>
      <w:tr w:rsidR="001440FC" w:rsidRPr="00051BB3" w:rsidTr="00A11EE9">
        <w:trPr>
          <w:trHeight w:val="315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2.8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能对存储样本管进行加盖</w:t>
            </w:r>
            <w:r w:rsidRPr="00051BB3">
              <w:t>/</w:t>
            </w:r>
            <w:r w:rsidRPr="00051BB3">
              <w:rPr>
                <w:rFonts w:hint="eastAsia"/>
              </w:rPr>
              <w:t>膜</w:t>
            </w:r>
            <w:r>
              <w:rPr>
                <w:rFonts w:hint="eastAsia"/>
              </w:rPr>
              <w:t>，</w:t>
            </w:r>
            <w:r w:rsidRPr="00051BB3">
              <w:rPr>
                <w:rFonts w:hint="eastAsia"/>
              </w:rPr>
              <w:t>在线加盖</w:t>
            </w:r>
            <w:r w:rsidRPr="00051BB3">
              <w:t>/</w:t>
            </w:r>
            <w:r w:rsidRPr="00051BB3">
              <w:rPr>
                <w:rFonts w:hint="eastAsia"/>
              </w:rPr>
              <w:t>膜能力≥</w:t>
            </w:r>
            <w:r w:rsidRPr="00051BB3">
              <w:t>800</w:t>
            </w:r>
            <w:r w:rsidRPr="00051BB3">
              <w:rPr>
                <w:rFonts w:hint="eastAsia"/>
              </w:rPr>
              <w:t>管</w:t>
            </w:r>
            <w:r w:rsidRPr="00051BB3">
              <w:t>/</w:t>
            </w:r>
            <w:r w:rsidRPr="00051BB3">
              <w:rPr>
                <w:rFonts w:hint="eastAsia"/>
              </w:rPr>
              <w:t>小时。</w:t>
            </w:r>
          </w:p>
        </w:tc>
      </w:tr>
      <w:tr w:rsidR="001440FC" w:rsidRPr="00051BB3" w:rsidTr="00A11EE9">
        <w:trPr>
          <w:trHeight w:val="5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2.9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样品带有自动定位功能，存储冰箱模块直接连接在流水线轨道上，温度控制</w:t>
            </w:r>
            <w:r w:rsidRPr="00051BB3">
              <w:t>2--8</w:t>
            </w:r>
            <w:r w:rsidRPr="00051BB3">
              <w:rPr>
                <w:rFonts w:hint="eastAsia"/>
              </w:rPr>
              <w:t>℃，并根据样本量进行后期的免费升级</w:t>
            </w:r>
            <w:r>
              <w:rPr>
                <w:rFonts w:hint="eastAsia"/>
              </w:rPr>
              <w:t>。能</w:t>
            </w:r>
            <w:r w:rsidRPr="00051BB3">
              <w:rPr>
                <w:rFonts w:hint="eastAsia"/>
              </w:rPr>
              <w:t>设置样本储存时间，在线冷藏冰箱单模块容量≥</w:t>
            </w:r>
            <w:r>
              <w:rPr>
                <w:rFonts w:hint="eastAsia"/>
              </w:rPr>
              <w:t>8</w:t>
            </w:r>
            <w:r w:rsidRPr="00051BB3">
              <w:t>000</w:t>
            </w:r>
            <w:r>
              <w:rPr>
                <w:rFonts w:hint="eastAsia"/>
              </w:rPr>
              <w:t>管，样本满载后能</w:t>
            </w:r>
            <w:r w:rsidRPr="00051BB3">
              <w:rPr>
                <w:rFonts w:hint="eastAsia"/>
              </w:rPr>
              <w:t>自动报警</w:t>
            </w:r>
            <w:r>
              <w:rPr>
                <w:rFonts w:hint="eastAsia"/>
              </w:rPr>
              <w:t>。</w:t>
            </w:r>
          </w:p>
        </w:tc>
      </w:tr>
      <w:tr w:rsidR="001440FC" w:rsidRPr="00051BB3" w:rsidTr="00A11EE9">
        <w:trPr>
          <w:trHeight w:val="5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>
              <w:t>2.10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B55153">
              <w:rPr>
                <w:rFonts w:hint="eastAsia"/>
              </w:rPr>
              <w:t>流水线前处理需配备自动样本分拣系统。处理能力：≥</w:t>
            </w:r>
            <w:r w:rsidRPr="00B55153">
              <w:rPr>
                <w:rFonts w:hint="eastAsia"/>
              </w:rPr>
              <w:t>1500</w:t>
            </w:r>
            <w:r w:rsidRPr="00B55153">
              <w:rPr>
                <w:rFonts w:hint="eastAsia"/>
              </w:rPr>
              <w:t>支</w:t>
            </w:r>
            <w:r w:rsidRPr="00B55153">
              <w:rPr>
                <w:rFonts w:hint="eastAsia"/>
              </w:rPr>
              <w:t>/</w:t>
            </w:r>
            <w:r w:rsidRPr="00B55153">
              <w:rPr>
                <w:rFonts w:hint="eastAsia"/>
              </w:rPr>
              <w:t>小时；分拣种类：</w:t>
            </w:r>
            <w:r w:rsidRPr="00B55153">
              <w:rPr>
                <w:rFonts w:hint="eastAsia"/>
              </w:rPr>
              <w:t>8+1</w:t>
            </w:r>
            <w:r w:rsidRPr="00B55153">
              <w:rPr>
                <w:rFonts w:hint="eastAsia"/>
              </w:rPr>
              <w:t>种试管分类；分拣仓≥</w:t>
            </w:r>
            <w:r w:rsidRPr="00B55153">
              <w:rPr>
                <w:rFonts w:hint="eastAsia"/>
              </w:rPr>
              <w:t>10</w:t>
            </w:r>
            <w:r w:rsidRPr="00B55153">
              <w:rPr>
                <w:rFonts w:hint="eastAsia"/>
              </w:rPr>
              <w:t>个，分拣仓容量≥</w:t>
            </w:r>
            <w:r w:rsidRPr="00B55153">
              <w:rPr>
                <w:rFonts w:hint="eastAsia"/>
              </w:rPr>
              <w:t>600</w:t>
            </w:r>
            <w:r w:rsidRPr="00B55153">
              <w:rPr>
                <w:rFonts w:hint="eastAsia"/>
              </w:rPr>
              <w:t>支样本管，每个提篮可容纳≥</w:t>
            </w:r>
            <w:r w:rsidRPr="00B55153">
              <w:rPr>
                <w:rFonts w:hint="eastAsia"/>
              </w:rPr>
              <w:t>200</w:t>
            </w:r>
            <w:r w:rsidRPr="00B55153">
              <w:rPr>
                <w:rFonts w:hint="eastAsia"/>
              </w:rPr>
              <w:t>支样本管。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 w:val="restart"/>
            <w:noWrap/>
          </w:tcPr>
          <w:p w:rsidR="001440FC" w:rsidRPr="00051BB3" w:rsidRDefault="001440FC" w:rsidP="001440FC">
            <w:r w:rsidRPr="00051BB3">
              <w:t>3</w:t>
            </w:r>
            <w:r w:rsidRPr="00051BB3">
              <w:rPr>
                <w:rFonts w:hint="eastAsia"/>
              </w:rPr>
              <w:t>、全自动免疫分析仪要求</w:t>
            </w:r>
          </w:p>
        </w:tc>
        <w:tc>
          <w:tcPr>
            <w:tcW w:w="879" w:type="dxa"/>
            <w:noWrap/>
          </w:tcPr>
          <w:p w:rsidR="001440FC" w:rsidRPr="00051BB3" w:rsidRDefault="001440FC" w:rsidP="001440FC">
            <w:r>
              <w:rPr>
                <w:rFonts w:ascii="等线" w:eastAsia="等线" w:hAnsi="等线" w:hint="eastAsia"/>
              </w:rPr>
              <w:t>★</w:t>
            </w:r>
            <w:r w:rsidRPr="00051BB3">
              <w:t>3.1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线上免疫分析模块综合检测速度≥</w:t>
            </w:r>
            <w:r w:rsidRPr="00B55153">
              <w:rPr>
                <w:rFonts w:hint="eastAsia"/>
              </w:rPr>
              <w:t>12</w:t>
            </w:r>
            <w:r w:rsidRPr="00B55153">
              <w:t>00</w:t>
            </w:r>
            <w:r w:rsidRPr="00051BB3">
              <w:rPr>
                <w:rFonts w:hint="eastAsia"/>
              </w:rPr>
              <w:t>测试</w:t>
            </w:r>
            <w:r w:rsidRPr="00051BB3">
              <w:t>/</w:t>
            </w:r>
            <w:r w:rsidRPr="00051BB3">
              <w:rPr>
                <w:rFonts w:hint="eastAsia"/>
              </w:rPr>
              <w:t>小时，且单个样本报告时间≦</w:t>
            </w:r>
            <w:r w:rsidRPr="00051BB3">
              <w:t>30</w:t>
            </w:r>
            <w:r w:rsidRPr="00051BB3">
              <w:rPr>
                <w:rFonts w:hint="eastAsia"/>
              </w:rPr>
              <w:t>分钟。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>
              <w:rPr>
                <w:rFonts w:ascii="等线" w:eastAsia="等线" w:hAnsi="等线" w:hint="eastAsia"/>
              </w:rPr>
              <w:t>★</w:t>
            </w:r>
            <w:r w:rsidRPr="00051BB3">
              <w:t>3.2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检测方法学：化学发光法</w:t>
            </w:r>
            <w:r>
              <w:rPr>
                <w:rFonts w:hint="eastAsia"/>
              </w:rPr>
              <w:t>。</w:t>
            </w:r>
            <w:r w:rsidRPr="00051BB3">
              <w:rPr>
                <w:rFonts w:hint="eastAsia"/>
              </w:rPr>
              <w:t>传染病项目均采用两步法，</w:t>
            </w:r>
            <w:r w:rsidRPr="00272181">
              <w:rPr>
                <w:rFonts w:hint="eastAsia"/>
              </w:rPr>
              <w:t>避免</w:t>
            </w:r>
            <w:r w:rsidRPr="00272181">
              <w:t>HOOK</w:t>
            </w:r>
            <w:r w:rsidRPr="00272181">
              <w:rPr>
                <w:rFonts w:hint="eastAsia"/>
              </w:rPr>
              <w:t>效应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3.3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试剂稳定性：至少可保证连续上机</w:t>
            </w:r>
            <w:r w:rsidRPr="00051BB3">
              <w:t>28</w:t>
            </w:r>
            <w:r>
              <w:rPr>
                <w:rFonts w:hint="eastAsia"/>
              </w:rPr>
              <w:t>天以上，开瓶效期与标贴效期一致，同批号试剂只需要定标一次（需提供证明材料）</w:t>
            </w:r>
            <w:r w:rsidRPr="00051BB3">
              <w:rPr>
                <w:rFonts w:hint="eastAsia"/>
              </w:rPr>
              <w:t>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3.4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样品间携带污染率≤</w:t>
            </w:r>
            <w:r w:rsidRPr="00051BB3">
              <w:t>0.1 ppm</w:t>
            </w:r>
            <w:r>
              <w:rPr>
                <w:rFonts w:hint="eastAsia"/>
              </w:rPr>
              <w:t>（需提供证明材料）。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3.</w:t>
            </w:r>
            <w:r>
              <w:rPr>
                <w:rFonts w:hint="eastAsia"/>
              </w:rPr>
              <w:t>5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样本针具有液面感应、压力传感（检测凝块、气泡）和垂直感应监测等功能。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3.</w:t>
            </w:r>
            <w:r>
              <w:rPr>
                <w:rFonts w:hint="eastAsia"/>
              </w:rPr>
              <w:t>6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机载试剂储存区须具有冷藏功能（温度恒定在</w:t>
            </w:r>
            <w:r w:rsidRPr="00051BB3">
              <w:t>2-12</w:t>
            </w:r>
            <w:r w:rsidRPr="00051BB3">
              <w:rPr>
                <w:rFonts w:hint="eastAsia"/>
              </w:rPr>
              <w:t>℃内），单机不少于</w:t>
            </w:r>
            <w:r>
              <w:rPr>
                <w:rFonts w:hint="eastAsia"/>
              </w:rPr>
              <w:t>2</w:t>
            </w:r>
            <w:r w:rsidRPr="00051BB3">
              <w:t>0</w:t>
            </w:r>
            <w:r w:rsidRPr="00051BB3">
              <w:rPr>
                <w:rFonts w:hint="eastAsia"/>
              </w:rPr>
              <w:t>个试剂位。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3.</w:t>
            </w:r>
            <w:r>
              <w:rPr>
                <w:rFonts w:hint="eastAsia"/>
              </w:rPr>
              <w:t>7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校准数据可自动备份，查询，包括试剂批号、校准吸光度值和校准系数的查询、反应曲线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3.</w:t>
            </w:r>
            <w:r>
              <w:rPr>
                <w:rFonts w:hint="eastAsia"/>
              </w:rPr>
              <w:t>8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样本稀释</w:t>
            </w:r>
            <w:r w:rsidRPr="00051BB3">
              <w:t>(</w:t>
            </w:r>
            <w:r w:rsidRPr="00051BB3">
              <w:rPr>
                <w:rFonts w:hint="eastAsia"/>
              </w:rPr>
              <w:t>浓缩</w:t>
            </w:r>
            <w:r w:rsidRPr="00051BB3">
              <w:t>)</w:t>
            </w:r>
            <w:r w:rsidRPr="00051BB3">
              <w:rPr>
                <w:rFonts w:hint="eastAsia"/>
              </w:rPr>
              <w:t>功能：可进行样本自动稀释和浓缩检测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3.</w:t>
            </w:r>
            <w:r>
              <w:rPr>
                <w:rFonts w:hint="eastAsia"/>
              </w:rPr>
              <w:t>9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rPr>
                <w:rFonts w:hint="eastAsia"/>
              </w:rPr>
              <w:t>在线连接的免疫分析仪需具备样品架进样工作模式，可以实现实时单机操</w:t>
            </w:r>
            <w:r w:rsidRPr="00051BB3">
              <w:rPr>
                <w:rFonts w:hint="eastAsia"/>
              </w:rPr>
              <w:lastRenderedPageBreak/>
              <w:t>作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>
              <w:t>3.10</w:t>
            </w:r>
          </w:p>
        </w:tc>
        <w:tc>
          <w:tcPr>
            <w:tcW w:w="6854" w:type="dxa"/>
            <w:noWrap/>
          </w:tcPr>
          <w:p w:rsidR="001440FC" w:rsidRPr="008D121D" w:rsidRDefault="001440FC" w:rsidP="001440FC">
            <w:r w:rsidRPr="008D121D">
              <w:rPr>
                <w:rFonts w:hint="eastAsia"/>
              </w:rPr>
              <w:t>重复性精密度</w:t>
            </w:r>
            <w:r w:rsidRPr="008D121D">
              <w:t>&lt;</w:t>
            </w:r>
            <w:r>
              <w:rPr>
                <w:rFonts w:hint="eastAsia"/>
              </w:rPr>
              <w:t>1/4 Tea</w:t>
            </w:r>
            <w:r>
              <w:rPr>
                <w:rFonts w:hint="eastAsia"/>
              </w:rPr>
              <w:t>，</w:t>
            </w:r>
            <w:r w:rsidRPr="008D121D">
              <w:rPr>
                <w:rFonts w:hint="eastAsia"/>
              </w:rPr>
              <w:t>中间精密度</w:t>
            </w:r>
            <w:r w:rsidRPr="008D121D">
              <w:t>&lt;</w:t>
            </w:r>
            <w:r>
              <w:rPr>
                <w:rFonts w:hint="eastAsia"/>
              </w:rPr>
              <w:t>1/3 Tea</w:t>
            </w:r>
          </w:p>
        </w:tc>
      </w:tr>
      <w:tr w:rsidR="001440FC" w:rsidRPr="00051BB3" w:rsidTr="00A11EE9">
        <w:trPr>
          <w:trHeight w:val="450"/>
        </w:trPr>
        <w:tc>
          <w:tcPr>
            <w:tcW w:w="789" w:type="dxa"/>
            <w:vMerge w:val="restart"/>
          </w:tcPr>
          <w:p w:rsidR="001440FC" w:rsidRPr="00051BB3" w:rsidRDefault="001440FC" w:rsidP="001440FC">
            <w:r w:rsidRPr="00051BB3">
              <w:t>4</w:t>
            </w:r>
            <w:r w:rsidRPr="00051BB3">
              <w:rPr>
                <w:rFonts w:hint="eastAsia"/>
              </w:rPr>
              <w:t>、检测项目要求</w:t>
            </w:r>
          </w:p>
        </w:tc>
        <w:tc>
          <w:tcPr>
            <w:tcW w:w="879" w:type="dxa"/>
            <w:noWrap/>
          </w:tcPr>
          <w:p w:rsidR="001440FC" w:rsidRPr="00051BB3" w:rsidRDefault="001440FC" w:rsidP="001440FC">
            <w:r>
              <w:rPr>
                <w:rFonts w:ascii="等线" w:eastAsia="等线" w:hAnsi="等线" w:hint="eastAsia"/>
              </w:rPr>
              <w:t>★</w:t>
            </w:r>
            <w:r w:rsidRPr="00051BB3">
              <w:t>4.1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肿瘤项目：</w:t>
            </w:r>
            <w:r w:rsidRPr="00051BB3">
              <w:t>AFP/CEA/CA125/CA199/CA153 /TPSA/SCC</w:t>
            </w:r>
            <w:r>
              <w:rPr>
                <w:rFonts w:hint="eastAsia"/>
              </w:rPr>
              <w:t>-Ag</w:t>
            </w:r>
            <w:r w:rsidRPr="00051BB3">
              <w:t>/CYFRA-211/</w:t>
            </w:r>
          </w:p>
          <w:p w:rsidR="001440FC" w:rsidRPr="00051BB3" w:rsidRDefault="001440FC" w:rsidP="001440FC">
            <w:r w:rsidRPr="00051BB3">
              <w:t>FPSA/HE4/</w:t>
            </w:r>
            <w:r w:rsidRPr="00051BB3">
              <w:rPr>
                <w:kern w:val="0"/>
              </w:rPr>
              <w:t xml:space="preserve"> FERRITIN</w:t>
            </w:r>
            <w:r>
              <w:rPr>
                <w:kern w:val="0"/>
              </w:rPr>
              <w:t>/ROMA</w:t>
            </w:r>
            <w:r>
              <w:rPr>
                <w:rFonts w:hint="eastAsia"/>
                <w:kern w:val="0"/>
              </w:rPr>
              <w:t>值</w:t>
            </w:r>
          </w:p>
        </w:tc>
      </w:tr>
      <w:tr w:rsidR="001440FC" w:rsidRPr="00051BB3" w:rsidTr="00A11EE9">
        <w:trPr>
          <w:trHeight w:val="375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>
              <w:rPr>
                <w:rFonts w:ascii="等线" w:eastAsia="等线" w:hAnsi="等线" w:hint="eastAsia"/>
              </w:rPr>
              <w:t>★</w:t>
            </w:r>
            <w:r w:rsidRPr="00051BB3">
              <w:t>4.2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传染病项目：</w:t>
            </w:r>
            <w:r w:rsidRPr="00051BB3">
              <w:t>HBsAg/HBsAb/HBeAb/HBeAg/HBcAb/HIV</w:t>
            </w:r>
            <w:r>
              <w:rPr>
                <w:rFonts w:hint="eastAsia"/>
              </w:rPr>
              <w:t>AgAb</w:t>
            </w:r>
            <w:r w:rsidRPr="00051BB3">
              <w:t xml:space="preserve"> /</w:t>
            </w:r>
            <w:r>
              <w:rPr>
                <w:rFonts w:hint="eastAsia"/>
                <w:kern w:val="0"/>
              </w:rPr>
              <w:t xml:space="preserve"> Anti-</w:t>
            </w:r>
            <w:r w:rsidRPr="00051BB3">
              <w:rPr>
                <w:kern w:val="0"/>
              </w:rPr>
              <w:t>Syphilis TP</w:t>
            </w:r>
            <w:r w:rsidRPr="00051BB3">
              <w:t xml:space="preserve"> /HCV Ab</w:t>
            </w:r>
          </w:p>
        </w:tc>
      </w:tr>
      <w:tr w:rsidR="001440FC" w:rsidRPr="00051BB3" w:rsidTr="00A11EE9">
        <w:trPr>
          <w:trHeight w:val="375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>
              <w:rPr>
                <w:rFonts w:ascii="等线" w:eastAsia="等线" w:hAnsi="等线" w:hint="eastAsia"/>
              </w:rPr>
              <w:t>★</w:t>
            </w:r>
            <w:r w:rsidRPr="00051BB3">
              <w:t>4.</w:t>
            </w:r>
            <w:r>
              <w:rPr>
                <w:rFonts w:hint="eastAsia"/>
              </w:rPr>
              <w:t>3</w:t>
            </w:r>
          </w:p>
        </w:tc>
        <w:tc>
          <w:tcPr>
            <w:tcW w:w="6854" w:type="dxa"/>
            <w:noWrap/>
          </w:tcPr>
          <w:p w:rsidR="001440FC" w:rsidRPr="005216ED" w:rsidRDefault="001440FC" w:rsidP="001440FC">
            <w:r w:rsidRPr="00051BB3">
              <w:rPr>
                <w:rFonts w:hint="eastAsia"/>
              </w:rPr>
              <w:t>甲状腺项目：</w:t>
            </w:r>
            <w:r w:rsidRPr="00051BB3">
              <w:t>TSH/T3/T4/FT3/FT4/TG</w:t>
            </w:r>
            <w:r w:rsidRPr="005216ED">
              <w:t>A</w:t>
            </w:r>
            <w:r w:rsidRPr="005216ED">
              <w:rPr>
                <w:rFonts w:hint="eastAsia"/>
              </w:rPr>
              <w:t>b</w:t>
            </w:r>
            <w:r w:rsidRPr="00051BB3">
              <w:t>/TPOAb/PTH</w:t>
            </w:r>
          </w:p>
        </w:tc>
      </w:tr>
      <w:tr w:rsidR="001440FC" w:rsidRPr="00051BB3" w:rsidTr="00A11EE9">
        <w:trPr>
          <w:trHeight w:val="375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4.</w:t>
            </w:r>
            <w:r>
              <w:rPr>
                <w:rFonts w:hint="eastAsia"/>
              </w:rPr>
              <w:t>4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心肌开展项目：</w:t>
            </w:r>
            <w:r w:rsidRPr="00051BB3">
              <w:t>BNP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超敏</w:t>
            </w:r>
            <w:r w:rsidRPr="008E3CFA">
              <w:rPr>
                <w:rFonts w:hint="eastAsia"/>
              </w:rPr>
              <w:t>肌钙蛋白</w:t>
            </w:r>
            <w:r w:rsidRPr="008E3CFA">
              <w:t>I</w:t>
            </w:r>
            <w:r>
              <w:rPr>
                <w:rFonts w:hint="eastAsia"/>
              </w:rPr>
              <w:t>/</w:t>
            </w:r>
            <w:r w:rsidRPr="008E3CFA">
              <w:rPr>
                <w:rFonts w:hint="eastAsia"/>
              </w:rPr>
              <w:t>肌红蛋白</w:t>
            </w:r>
            <w:r w:rsidRPr="007746DC">
              <w:rPr>
                <w:rFonts w:hint="eastAsia"/>
              </w:rPr>
              <w:t>,</w:t>
            </w:r>
            <w:r w:rsidRPr="007746DC">
              <w:rPr>
                <w:rFonts w:hint="eastAsia"/>
              </w:rPr>
              <w:t>其中：</w:t>
            </w:r>
            <w:r w:rsidRPr="007746DC">
              <w:rPr>
                <w:rFonts w:hint="eastAsia"/>
              </w:rPr>
              <w:t>hsTnI</w:t>
            </w:r>
            <w:r w:rsidRPr="007746DC">
              <w:rPr>
                <w:rFonts w:hint="eastAsia"/>
              </w:rPr>
              <w:t>第</w:t>
            </w:r>
            <w:r w:rsidRPr="007746DC">
              <w:rPr>
                <w:rFonts w:hint="eastAsia"/>
              </w:rPr>
              <w:t>99</w:t>
            </w:r>
            <w:r w:rsidRPr="007746DC">
              <w:rPr>
                <w:rFonts w:hint="eastAsia"/>
              </w:rPr>
              <w:t>百分位值的</w:t>
            </w:r>
            <w:r w:rsidRPr="007746DC">
              <w:rPr>
                <w:rFonts w:hint="eastAsia"/>
              </w:rPr>
              <w:t>CV</w:t>
            </w:r>
            <w:r w:rsidRPr="007746DC">
              <w:rPr>
                <w:rFonts w:hint="eastAsia"/>
              </w:rPr>
              <w:t>≤</w:t>
            </w:r>
            <w:r w:rsidRPr="007746DC">
              <w:rPr>
                <w:rFonts w:hint="eastAsia"/>
              </w:rPr>
              <w:t>10%</w:t>
            </w:r>
            <w:r w:rsidRPr="007746DC">
              <w:rPr>
                <w:rFonts w:hint="eastAsia"/>
              </w:rPr>
              <w:t>。</w:t>
            </w:r>
          </w:p>
        </w:tc>
      </w:tr>
      <w:tr w:rsidR="001440FC" w:rsidRPr="00051BB3" w:rsidTr="00A11EE9">
        <w:trPr>
          <w:trHeight w:val="375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4.</w:t>
            </w:r>
            <w:r>
              <w:rPr>
                <w:rFonts w:hint="eastAsia"/>
              </w:rPr>
              <w:t>5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其它项目：</w:t>
            </w:r>
            <w:r w:rsidRPr="008E3CFA">
              <w:rPr>
                <w:rFonts w:hint="eastAsia"/>
              </w:rPr>
              <w:t>丙型肝炎病毒抗原（</w:t>
            </w:r>
            <w:r w:rsidRPr="008E3CFA">
              <w:t>HCVAg</w:t>
            </w:r>
            <w:r w:rsidRPr="008E3CFA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8E3CFA">
              <w:rPr>
                <w:rFonts w:hint="eastAsia"/>
              </w:rPr>
              <w:t>胃泌素释放肽前体（</w:t>
            </w:r>
            <w:r w:rsidRPr="008E3CFA">
              <w:t>ProGRP</w:t>
            </w:r>
            <w:r w:rsidRPr="008E3CFA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Pr="008E3CFA">
              <w:rPr>
                <w:rFonts w:hint="eastAsia"/>
              </w:rPr>
              <w:t>异常凝血酶原</w:t>
            </w:r>
            <w:r w:rsidRPr="008E3CFA">
              <w:t>(PIVKA.II)</w:t>
            </w:r>
            <w:r>
              <w:t xml:space="preserve"> </w:t>
            </w:r>
          </w:p>
        </w:tc>
      </w:tr>
      <w:tr w:rsidR="001440FC" w:rsidRPr="00051BB3" w:rsidTr="00A11EE9">
        <w:trPr>
          <w:trHeight w:val="375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4.</w:t>
            </w:r>
            <w:r>
              <w:rPr>
                <w:rFonts w:hint="eastAsia"/>
              </w:rPr>
              <w:t>6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rPr>
                <w:rFonts w:hint="eastAsia"/>
              </w:rPr>
              <w:t>以上所供产品需在集采目录中，并提供集采流水号或备案号，产品原则上选择交易目录中的限价产品，无替代可选择备案产品，但交易目录中的限价产品占比不得少于</w:t>
            </w:r>
            <w:r w:rsidRPr="00051BB3">
              <w:t>90%</w:t>
            </w:r>
            <w:r w:rsidRPr="00051BB3">
              <w:rPr>
                <w:rFonts w:hint="eastAsia"/>
              </w:rPr>
              <w:t>。</w:t>
            </w:r>
          </w:p>
        </w:tc>
      </w:tr>
      <w:tr w:rsidR="001440FC" w:rsidRPr="00051BB3" w:rsidTr="00A11EE9">
        <w:trPr>
          <w:trHeight w:val="51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4.</w:t>
            </w:r>
            <w:r>
              <w:rPr>
                <w:rFonts w:hint="eastAsia"/>
              </w:rPr>
              <w:t>7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新试剂或新批号试剂与旧试剂或旧批号试剂验证结果的偏倚</w:t>
            </w:r>
            <w:r w:rsidRPr="00051BB3">
              <w:t>&lt;1/2Tea</w:t>
            </w:r>
          </w:p>
        </w:tc>
      </w:tr>
      <w:tr w:rsidR="001440FC" w:rsidRPr="00051BB3" w:rsidTr="00A11EE9">
        <w:trPr>
          <w:trHeight w:val="51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>
              <w:rPr>
                <w:rFonts w:hint="eastAsia"/>
              </w:rPr>
              <w:t>4.8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>
              <w:rPr>
                <w:rFonts w:hint="eastAsia"/>
              </w:rPr>
              <w:t>满足目前开展项目，后期根据工作需要可以加入新项目（提供承诺函）</w:t>
            </w:r>
          </w:p>
        </w:tc>
      </w:tr>
      <w:tr w:rsidR="001440FC" w:rsidRPr="00051BB3" w:rsidTr="00A11EE9">
        <w:trPr>
          <w:trHeight w:val="540"/>
        </w:trPr>
        <w:tc>
          <w:tcPr>
            <w:tcW w:w="789" w:type="dxa"/>
            <w:vMerge w:val="restart"/>
          </w:tcPr>
          <w:p w:rsidR="001440FC" w:rsidRPr="00051BB3" w:rsidRDefault="001440FC" w:rsidP="001440FC">
            <w:r w:rsidRPr="00051BB3">
              <w:t>5</w:t>
            </w:r>
            <w:r w:rsidRPr="00051BB3">
              <w:rPr>
                <w:rFonts w:hint="eastAsia"/>
              </w:rPr>
              <w:t>、信息化管理系统要求</w:t>
            </w:r>
          </w:p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5.1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可以连接科室内线下仪器，集中管理科室设备，能够在同一界面集中管理在线的仪器，监测和提供检测样本实时状态，并支持远程操控仪器控制电脑的功能，能提供样本</w:t>
            </w:r>
            <w:r w:rsidRPr="00051BB3">
              <w:t>TAT</w:t>
            </w:r>
            <w:r w:rsidRPr="00051BB3">
              <w:rPr>
                <w:rFonts w:hint="eastAsia"/>
              </w:rPr>
              <w:t>时间的实时监控功能。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5.2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能够进行质量事件管理，可对样本发送稀释、重做等指令，并能对灰区结果、特殊报警等进行弹框提醒。</w:t>
            </w:r>
          </w:p>
        </w:tc>
      </w:tr>
      <w:tr w:rsidR="001440FC" w:rsidRPr="00051BB3" w:rsidTr="00A11EE9">
        <w:trPr>
          <w:trHeight w:val="270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5.3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提供自动审核功能及危急值管理功能，可自定义实验室审核规则。</w:t>
            </w:r>
          </w:p>
        </w:tc>
      </w:tr>
      <w:tr w:rsidR="001440FC" w:rsidRPr="00051BB3" w:rsidTr="00A11EE9">
        <w:trPr>
          <w:trHeight w:val="675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5.4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 w:rsidRPr="00051BB3">
              <w:rPr>
                <w:rFonts w:hint="eastAsia"/>
              </w:rPr>
              <w:t>轨道控制软件可与轨道中的所有模块和活动元件进行通信，可根据各模块的运行状态引导样本以最有效的方式到达目标位置，可管理并监控样本的工作流程，可提供真实轨道布局的可视化信息，以及各活动组件的状态信息，并可通过可视化轨道布局图实时查看样本在轨道中的运转路径。</w:t>
            </w:r>
          </w:p>
        </w:tc>
      </w:tr>
      <w:tr w:rsidR="001440FC" w:rsidRPr="00051BB3" w:rsidTr="00A11EE9">
        <w:trPr>
          <w:trHeight w:val="525"/>
        </w:trPr>
        <w:tc>
          <w:tcPr>
            <w:tcW w:w="789" w:type="dxa"/>
            <w:vMerge/>
          </w:tcPr>
          <w:p w:rsidR="001440FC" w:rsidRPr="00051BB3" w:rsidRDefault="001440FC" w:rsidP="001440FC"/>
        </w:tc>
        <w:tc>
          <w:tcPr>
            <w:tcW w:w="879" w:type="dxa"/>
            <w:noWrap/>
          </w:tcPr>
          <w:p w:rsidR="001440FC" w:rsidRPr="00051BB3" w:rsidRDefault="001440FC" w:rsidP="001440FC">
            <w:r w:rsidRPr="00051BB3">
              <w:t>5.5</w:t>
            </w:r>
          </w:p>
        </w:tc>
        <w:tc>
          <w:tcPr>
            <w:tcW w:w="6854" w:type="dxa"/>
            <w:noWrap/>
          </w:tcPr>
          <w:p w:rsidR="001440FC" w:rsidRPr="00051BB3" w:rsidRDefault="001440FC" w:rsidP="001440FC">
            <w:r>
              <w:rPr>
                <w:rFonts w:hint="eastAsia"/>
              </w:rPr>
              <w:t>支持双工功能。</w:t>
            </w:r>
          </w:p>
        </w:tc>
      </w:tr>
      <w:tr w:rsidR="00827F9F" w:rsidRPr="00051BB3" w:rsidTr="00096824">
        <w:trPr>
          <w:trHeight w:val="270"/>
        </w:trPr>
        <w:tc>
          <w:tcPr>
            <w:tcW w:w="789" w:type="dxa"/>
            <w:noWrap/>
          </w:tcPr>
          <w:p w:rsidR="00827F9F" w:rsidRPr="00051BB3" w:rsidRDefault="00827F9F" w:rsidP="001440FC">
            <w:r w:rsidRPr="00051BB3">
              <w:t>6</w:t>
            </w:r>
          </w:p>
        </w:tc>
        <w:tc>
          <w:tcPr>
            <w:tcW w:w="7733" w:type="dxa"/>
            <w:gridSpan w:val="2"/>
            <w:noWrap/>
          </w:tcPr>
          <w:p w:rsidR="00827F9F" w:rsidRPr="00051BB3" w:rsidRDefault="00827F9F" w:rsidP="001440FC">
            <w:r>
              <w:rPr>
                <w:rFonts w:hint="eastAsia"/>
              </w:rPr>
              <w:t>在用</w:t>
            </w:r>
            <w:r w:rsidRPr="00051BB3">
              <w:rPr>
                <w:rFonts w:hint="eastAsia"/>
              </w:rPr>
              <w:t>试剂年用量</w:t>
            </w:r>
          </w:p>
        </w:tc>
      </w:tr>
      <w:tr w:rsidR="001440FC" w:rsidRPr="00051BB3" w:rsidTr="00A11EE9">
        <w:trPr>
          <w:trHeight w:val="270"/>
        </w:trPr>
        <w:tc>
          <w:tcPr>
            <w:tcW w:w="8522" w:type="dxa"/>
            <w:gridSpan w:val="3"/>
            <w:noWrap/>
          </w:tcPr>
          <w:p w:rsidR="001440FC" w:rsidRPr="00051BB3" w:rsidRDefault="001440FC" w:rsidP="001440FC">
            <w:pPr>
              <w:ind w:firstLineChars="1350" w:firstLine="2835"/>
            </w:pPr>
            <w:r>
              <w:rPr>
                <w:rFonts w:hint="eastAsia"/>
              </w:rPr>
              <w:t>在用</w:t>
            </w:r>
            <w:r w:rsidRPr="00051BB3">
              <w:rPr>
                <w:rFonts w:hint="eastAsia"/>
              </w:rPr>
              <w:t>试剂年用量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rPr>
                <w:rFonts w:hint="eastAsia"/>
              </w:rPr>
              <w:t>项目</w:t>
            </w:r>
          </w:p>
        </w:tc>
        <w:tc>
          <w:tcPr>
            <w:tcW w:w="6854" w:type="dxa"/>
          </w:tcPr>
          <w:p w:rsidR="001440FC" w:rsidRPr="00051BB3" w:rsidRDefault="00827F9F" w:rsidP="001440FC">
            <w:r>
              <w:rPr>
                <w:rFonts w:hint="eastAsia"/>
              </w:rPr>
              <w:t>人份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AFP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42000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CEA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41000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CA125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24000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CA199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37000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CA153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19000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TPSA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11000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SCC</w:t>
            </w:r>
            <w:r>
              <w:rPr>
                <w:rFonts w:hint="eastAsia"/>
              </w:rPr>
              <w:t>-Ag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30000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CYFRA-211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23000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FPSA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5800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HE4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3900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rPr>
                <w:kern w:val="0"/>
              </w:rPr>
              <w:t>FERRITIN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24000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lastRenderedPageBreak/>
              <w:t>HBsAg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45000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HBsAb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44000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HBeAb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44000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HBeAg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44000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HBcAb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44000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 xml:space="preserve">HIV </w:t>
            </w:r>
            <w:r w:rsidRPr="007264B4">
              <w:rPr>
                <w:highlight w:val="cyan"/>
              </w:rPr>
              <w:t>A</w:t>
            </w:r>
            <w:r w:rsidRPr="007264B4">
              <w:rPr>
                <w:rFonts w:hint="eastAsia"/>
                <w:highlight w:val="cyan"/>
              </w:rPr>
              <w:t>g/</w:t>
            </w:r>
            <w:r w:rsidRPr="007264B4">
              <w:rPr>
                <w:highlight w:val="cyan"/>
              </w:rPr>
              <w:t>Ab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40000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>
              <w:rPr>
                <w:rFonts w:hint="eastAsia"/>
                <w:kern w:val="0"/>
              </w:rPr>
              <w:t>Anti-</w:t>
            </w:r>
            <w:r w:rsidRPr="00051BB3">
              <w:rPr>
                <w:kern w:val="0"/>
              </w:rPr>
              <w:t>Syphilis TP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40000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HCV Ab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39000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BNP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1600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TSH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42000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T3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22000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T4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22000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FT3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31000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FT4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32000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TG</w:t>
            </w:r>
            <w:r w:rsidRPr="007264B4">
              <w:rPr>
                <w:highlight w:val="cyan"/>
              </w:rPr>
              <w:t>A</w:t>
            </w:r>
            <w:r w:rsidRPr="007264B4">
              <w:rPr>
                <w:rFonts w:hint="eastAsia"/>
                <w:highlight w:val="cyan"/>
              </w:rPr>
              <w:t>b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20000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TPOAb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21000</w:t>
            </w:r>
          </w:p>
        </w:tc>
      </w:tr>
      <w:tr w:rsidR="001440FC" w:rsidRPr="00051BB3" w:rsidTr="00827F9F">
        <w:tc>
          <w:tcPr>
            <w:tcW w:w="1668" w:type="dxa"/>
            <w:gridSpan w:val="2"/>
          </w:tcPr>
          <w:p w:rsidR="001440FC" w:rsidRPr="00051BB3" w:rsidRDefault="001440FC" w:rsidP="001440FC">
            <w:r w:rsidRPr="00051BB3">
              <w:t>PTH</w:t>
            </w:r>
          </w:p>
        </w:tc>
        <w:tc>
          <w:tcPr>
            <w:tcW w:w="6854" w:type="dxa"/>
          </w:tcPr>
          <w:p w:rsidR="001440FC" w:rsidRPr="00051BB3" w:rsidRDefault="001440FC" w:rsidP="001440FC">
            <w:r w:rsidRPr="00051BB3">
              <w:t>6300</w:t>
            </w:r>
          </w:p>
        </w:tc>
      </w:tr>
      <w:tr w:rsidR="00827F9F" w:rsidRPr="00051BB3" w:rsidTr="00827F9F">
        <w:tc>
          <w:tcPr>
            <w:tcW w:w="789" w:type="dxa"/>
          </w:tcPr>
          <w:p w:rsidR="00827F9F" w:rsidRPr="00051BB3" w:rsidRDefault="00827F9F" w:rsidP="001440FC">
            <w:r>
              <w:rPr>
                <w:rFonts w:hint="eastAsia"/>
              </w:rPr>
              <w:t>7</w:t>
            </w:r>
          </w:p>
        </w:tc>
        <w:tc>
          <w:tcPr>
            <w:tcW w:w="7733" w:type="dxa"/>
            <w:gridSpan w:val="2"/>
          </w:tcPr>
          <w:p w:rsidR="00827F9F" w:rsidRPr="00051BB3" w:rsidRDefault="00827F9F" w:rsidP="001440FC">
            <w:r>
              <w:rPr>
                <w:rFonts w:hint="eastAsia"/>
                <w:sz w:val="24"/>
                <w:szCs w:val="24"/>
              </w:rPr>
              <w:t>售后服务</w:t>
            </w:r>
          </w:p>
        </w:tc>
      </w:tr>
      <w:tr w:rsidR="00827F9F" w:rsidRPr="00051BB3" w:rsidTr="00827F9F">
        <w:tc>
          <w:tcPr>
            <w:tcW w:w="789" w:type="dxa"/>
          </w:tcPr>
          <w:p w:rsidR="00827F9F" w:rsidRPr="00051BB3" w:rsidRDefault="00827F9F" w:rsidP="00827F9F">
            <w:r>
              <w:rPr>
                <w:rFonts w:hint="eastAsia"/>
              </w:rPr>
              <w:t>7.1</w:t>
            </w:r>
          </w:p>
        </w:tc>
        <w:tc>
          <w:tcPr>
            <w:tcW w:w="7733" w:type="dxa"/>
            <w:gridSpan w:val="2"/>
          </w:tcPr>
          <w:p w:rsidR="00827F9F" w:rsidRDefault="00827F9F" w:rsidP="00827F9F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整机质保不少于三年</w:t>
            </w:r>
          </w:p>
        </w:tc>
      </w:tr>
      <w:tr w:rsidR="00827F9F" w:rsidRPr="00051BB3" w:rsidTr="00827F9F">
        <w:tc>
          <w:tcPr>
            <w:tcW w:w="789" w:type="dxa"/>
          </w:tcPr>
          <w:p w:rsidR="00827F9F" w:rsidRDefault="00827F9F" w:rsidP="00827F9F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.2</w:t>
            </w:r>
          </w:p>
        </w:tc>
        <w:tc>
          <w:tcPr>
            <w:tcW w:w="7733" w:type="dxa"/>
            <w:gridSpan w:val="2"/>
          </w:tcPr>
          <w:p w:rsidR="00827F9F" w:rsidRDefault="00827F9F" w:rsidP="00827F9F">
            <w:pPr>
              <w:pStyle w:val="a8"/>
              <w:ind w:firstLineChars="0" w:firstLine="0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全年原厂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小时技术支持，</w:t>
            </w:r>
            <w:r>
              <w:rPr>
                <w:rFonts w:ascii="宋体" w:hAnsi="宋体" w:cs="宋体" w:hint="eastAsia"/>
                <w:kern w:val="0"/>
              </w:rPr>
              <w:t>软件系统终身免费升级</w:t>
            </w:r>
          </w:p>
        </w:tc>
      </w:tr>
      <w:tr w:rsidR="00827F9F" w:rsidRPr="00051BB3" w:rsidTr="00827F9F">
        <w:tc>
          <w:tcPr>
            <w:tcW w:w="789" w:type="dxa"/>
          </w:tcPr>
          <w:p w:rsidR="00827F9F" w:rsidRDefault="00827F9F" w:rsidP="00827F9F">
            <w:pPr>
              <w:rPr>
                <w:rFonts w:hint="eastAsia"/>
              </w:rPr>
            </w:pPr>
            <w:r>
              <w:rPr>
                <w:rFonts w:hint="eastAsia"/>
              </w:rPr>
              <w:t>7.3</w:t>
            </w:r>
          </w:p>
        </w:tc>
        <w:tc>
          <w:tcPr>
            <w:tcW w:w="7733" w:type="dxa"/>
            <w:gridSpan w:val="2"/>
          </w:tcPr>
          <w:p w:rsidR="00827F9F" w:rsidRDefault="00827F9F" w:rsidP="00827F9F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质保期外易损件需报价，如不报价视为免费赠送。质保期外维修，检测，升级等均免上门服务费（提供承诺函）</w:t>
            </w:r>
          </w:p>
        </w:tc>
      </w:tr>
      <w:tr w:rsidR="00827F9F" w:rsidRPr="00051BB3" w:rsidTr="00827F9F">
        <w:tc>
          <w:tcPr>
            <w:tcW w:w="789" w:type="dxa"/>
          </w:tcPr>
          <w:p w:rsidR="00827F9F" w:rsidRDefault="00827F9F" w:rsidP="00827F9F">
            <w:pPr>
              <w:rPr>
                <w:rFonts w:hint="eastAsia"/>
              </w:rPr>
            </w:pPr>
            <w:r>
              <w:rPr>
                <w:rFonts w:hint="eastAsia"/>
              </w:rPr>
              <w:t>7.4</w:t>
            </w:r>
          </w:p>
        </w:tc>
        <w:tc>
          <w:tcPr>
            <w:tcW w:w="7733" w:type="dxa"/>
            <w:gridSpan w:val="2"/>
          </w:tcPr>
          <w:p w:rsidR="00827F9F" w:rsidRDefault="00827F9F" w:rsidP="00827F9F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响应维护时间2小时，接到维护电话6小时抵达现场，如需返厂维修，可提供备用机。（提供承诺函）</w:t>
            </w:r>
          </w:p>
        </w:tc>
      </w:tr>
      <w:tr w:rsidR="00827F9F" w:rsidRPr="00051BB3" w:rsidTr="00827F9F">
        <w:tc>
          <w:tcPr>
            <w:tcW w:w="789" w:type="dxa"/>
          </w:tcPr>
          <w:p w:rsidR="00827F9F" w:rsidRDefault="00827F9F" w:rsidP="00827F9F">
            <w:pPr>
              <w:rPr>
                <w:rFonts w:hint="eastAsia"/>
              </w:rPr>
            </w:pPr>
            <w:r>
              <w:rPr>
                <w:rFonts w:hint="eastAsia"/>
              </w:rPr>
              <w:t>7.5</w:t>
            </w:r>
          </w:p>
        </w:tc>
        <w:tc>
          <w:tcPr>
            <w:tcW w:w="7733" w:type="dxa"/>
            <w:gridSpan w:val="2"/>
          </w:tcPr>
          <w:p w:rsidR="00827F9F" w:rsidRDefault="00827F9F" w:rsidP="00827F9F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  <w:r w:rsidRPr="00D54ED1">
              <w:rPr>
                <w:rFonts w:ascii="宋体" w:hAnsi="宋体" w:cs="宋体"/>
                <w:kern w:val="0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 w:rsidR="00827F9F" w:rsidRPr="00051BB3" w:rsidTr="00827F9F">
        <w:tc>
          <w:tcPr>
            <w:tcW w:w="789" w:type="dxa"/>
          </w:tcPr>
          <w:p w:rsidR="00827F9F" w:rsidRDefault="00827F9F" w:rsidP="00827F9F">
            <w:pPr>
              <w:rPr>
                <w:rFonts w:hint="eastAsia"/>
              </w:rPr>
            </w:pPr>
            <w:r>
              <w:rPr>
                <w:rFonts w:hint="eastAsia"/>
              </w:rPr>
              <w:t>7.6</w:t>
            </w:r>
          </w:p>
        </w:tc>
        <w:tc>
          <w:tcPr>
            <w:tcW w:w="7733" w:type="dxa"/>
            <w:gridSpan w:val="2"/>
          </w:tcPr>
          <w:p w:rsidR="00827F9F" w:rsidRPr="00EF72DF" w:rsidRDefault="00827F9F" w:rsidP="00827F9F">
            <w:pPr>
              <w:rPr>
                <w:rFonts w:ascii="宋体" w:hAnsi="宋体" w:cs="宋体"/>
                <w:kern w:val="0"/>
              </w:rPr>
            </w:pPr>
            <w:r w:rsidRPr="00D54ED1">
              <w:rPr>
                <w:rFonts w:ascii="宋体" w:hAnsi="宋体" w:cs="宋体"/>
                <w:kern w:val="0"/>
              </w:rPr>
              <w:t>每年</w:t>
            </w:r>
            <w:r>
              <w:rPr>
                <w:rFonts w:ascii="宋体" w:hAnsi="宋体" w:cs="宋体" w:hint="eastAsia"/>
                <w:kern w:val="0"/>
              </w:rPr>
              <w:t>开展</w:t>
            </w:r>
            <w:r w:rsidRPr="00D54ED1">
              <w:rPr>
                <w:rFonts w:ascii="宋体" w:hAnsi="宋体" w:cs="宋体"/>
                <w:kern w:val="0"/>
              </w:rPr>
              <w:t>至少一次</w:t>
            </w:r>
            <w:r>
              <w:rPr>
                <w:rFonts w:ascii="宋体" w:hAnsi="宋体" w:cs="宋体" w:hint="eastAsia"/>
                <w:kern w:val="0"/>
              </w:rPr>
              <w:t>免费</w:t>
            </w:r>
            <w:r w:rsidRPr="00D54ED1">
              <w:rPr>
                <w:rFonts w:ascii="宋体" w:hAnsi="宋体" w:cs="宋体"/>
                <w:kern w:val="0"/>
              </w:rPr>
              <w:t>校准，</w:t>
            </w:r>
            <w:r>
              <w:rPr>
                <w:rFonts w:ascii="宋体" w:hAnsi="宋体" w:cs="宋体" w:hint="eastAsia"/>
                <w:kern w:val="0"/>
              </w:rPr>
              <w:t>提供校准报告</w:t>
            </w:r>
            <w:r w:rsidRPr="00D54ED1">
              <w:rPr>
                <w:rFonts w:ascii="宋体" w:hAnsi="宋体" w:cs="宋体" w:hint="eastAsia"/>
                <w:kern w:val="0"/>
              </w:rPr>
              <w:t>（提供承诺函）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hint="eastAsia"/>
              </w:rPr>
              <w:t>安装后完成性能验证</w:t>
            </w:r>
          </w:p>
        </w:tc>
      </w:tr>
      <w:tr w:rsidR="00827F9F" w:rsidRPr="00051BB3" w:rsidTr="00827F9F">
        <w:tc>
          <w:tcPr>
            <w:tcW w:w="789" w:type="dxa"/>
          </w:tcPr>
          <w:p w:rsidR="00827F9F" w:rsidRDefault="00827F9F" w:rsidP="00827F9F">
            <w:pPr>
              <w:rPr>
                <w:rFonts w:hint="eastAsia"/>
              </w:rPr>
            </w:pPr>
            <w:r>
              <w:rPr>
                <w:rFonts w:hint="eastAsia"/>
              </w:rPr>
              <w:t>7.7</w:t>
            </w:r>
          </w:p>
        </w:tc>
        <w:tc>
          <w:tcPr>
            <w:tcW w:w="7733" w:type="dxa"/>
            <w:gridSpan w:val="2"/>
          </w:tcPr>
          <w:p w:rsidR="00827F9F" w:rsidRDefault="00827F9F" w:rsidP="00827F9F">
            <w:pPr>
              <w:pStyle w:val="a8"/>
              <w:ind w:firstLineChars="0" w:firstLine="0"/>
            </w:pPr>
            <w:r>
              <w:rPr>
                <w:rFonts w:hint="eastAsia"/>
              </w:rPr>
              <w:t>投标人提供与院方</w:t>
            </w:r>
            <w:r>
              <w:t>LIS</w:t>
            </w:r>
            <w:r>
              <w:rPr>
                <w:rFonts w:hint="eastAsia"/>
              </w:rPr>
              <w:t>对接、安装调试的费用（提供承诺函）</w:t>
            </w:r>
          </w:p>
          <w:p w:rsidR="00827F9F" w:rsidRPr="008A2A33" w:rsidRDefault="00827F9F" w:rsidP="00827F9F">
            <w:pPr>
              <w:widowControl/>
              <w:spacing w:line="315" w:lineRule="atLeast"/>
              <w:rPr>
                <w:rFonts w:ascii="宋体" w:hAnsi="宋体" w:cs="宋体"/>
                <w:kern w:val="0"/>
              </w:rPr>
            </w:pPr>
          </w:p>
        </w:tc>
      </w:tr>
    </w:tbl>
    <w:p w:rsidR="0033224B" w:rsidRDefault="0033224B"/>
    <w:p w:rsidR="0034152A" w:rsidRPr="0034152A" w:rsidRDefault="0034152A"/>
    <w:sectPr w:rsidR="0034152A" w:rsidRPr="0034152A" w:rsidSect="00D0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70" w:rsidRDefault="00870D70" w:rsidP="00DA4B8F">
      <w:r>
        <w:separator/>
      </w:r>
    </w:p>
  </w:endnote>
  <w:endnote w:type="continuationSeparator" w:id="0">
    <w:p w:rsidR="00870D70" w:rsidRDefault="00870D70" w:rsidP="00DA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70" w:rsidRDefault="00870D70" w:rsidP="00DA4B8F">
      <w:r>
        <w:separator/>
      </w:r>
    </w:p>
  </w:footnote>
  <w:footnote w:type="continuationSeparator" w:id="0">
    <w:p w:rsidR="00870D70" w:rsidRDefault="00870D70" w:rsidP="00DA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2C5"/>
    <w:rsid w:val="00051BB3"/>
    <w:rsid w:val="000559BA"/>
    <w:rsid w:val="00100D0E"/>
    <w:rsid w:val="00104C05"/>
    <w:rsid w:val="001440FC"/>
    <w:rsid w:val="00155E79"/>
    <w:rsid w:val="00182FD5"/>
    <w:rsid w:val="00191C77"/>
    <w:rsid w:val="001A3C36"/>
    <w:rsid w:val="001D32DB"/>
    <w:rsid w:val="00200893"/>
    <w:rsid w:val="00220201"/>
    <w:rsid w:val="00272181"/>
    <w:rsid w:val="002C77E5"/>
    <w:rsid w:val="002F3C42"/>
    <w:rsid w:val="0033224B"/>
    <w:rsid w:val="0034152A"/>
    <w:rsid w:val="003440C8"/>
    <w:rsid w:val="00371935"/>
    <w:rsid w:val="0038330E"/>
    <w:rsid w:val="004101FC"/>
    <w:rsid w:val="00441377"/>
    <w:rsid w:val="00457CAB"/>
    <w:rsid w:val="00483932"/>
    <w:rsid w:val="004B48BD"/>
    <w:rsid w:val="004B6176"/>
    <w:rsid w:val="004B77CF"/>
    <w:rsid w:val="005216ED"/>
    <w:rsid w:val="00522554"/>
    <w:rsid w:val="00571002"/>
    <w:rsid w:val="005A2313"/>
    <w:rsid w:val="005D5BE7"/>
    <w:rsid w:val="006465F4"/>
    <w:rsid w:val="006836CE"/>
    <w:rsid w:val="006C5CD0"/>
    <w:rsid w:val="006F7919"/>
    <w:rsid w:val="007264B4"/>
    <w:rsid w:val="007746DC"/>
    <w:rsid w:val="007A222B"/>
    <w:rsid w:val="007D7109"/>
    <w:rsid w:val="00827F9F"/>
    <w:rsid w:val="00870D70"/>
    <w:rsid w:val="008D121D"/>
    <w:rsid w:val="008E3CFA"/>
    <w:rsid w:val="009172B0"/>
    <w:rsid w:val="00985310"/>
    <w:rsid w:val="00A00391"/>
    <w:rsid w:val="00A11EE9"/>
    <w:rsid w:val="00A22F72"/>
    <w:rsid w:val="00A25A69"/>
    <w:rsid w:val="00A31F61"/>
    <w:rsid w:val="00A43067"/>
    <w:rsid w:val="00A74FCD"/>
    <w:rsid w:val="00AA2AFC"/>
    <w:rsid w:val="00AF2C3A"/>
    <w:rsid w:val="00B21807"/>
    <w:rsid w:val="00B431F9"/>
    <w:rsid w:val="00B55153"/>
    <w:rsid w:val="00B75D48"/>
    <w:rsid w:val="00BA3F6D"/>
    <w:rsid w:val="00BF2A22"/>
    <w:rsid w:val="00C36AE5"/>
    <w:rsid w:val="00CA1A6F"/>
    <w:rsid w:val="00CE6EDD"/>
    <w:rsid w:val="00D05096"/>
    <w:rsid w:val="00D35446"/>
    <w:rsid w:val="00D87C6D"/>
    <w:rsid w:val="00DA3128"/>
    <w:rsid w:val="00DA4B8F"/>
    <w:rsid w:val="00DC02C5"/>
    <w:rsid w:val="00E24213"/>
    <w:rsid w:val="00E5123F"/>
    <w:rsid w:val="00E60977"/>
    <w:rsid w:val="00E63499"/>
    <w:rsid w:val="00E92A4A"/>
    <w:rsid w:val="00E97E76"/>
    <w:rsid w:val="00EE31C3"/>
    <w:rsid w:val="00F44F2D"/>
    <w:rsid w:val="00F523F1"/>
    <w:rsid w:val="00F610FF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D0DCD0"/>
  <w15:docId w15:val="{864F9F3A-8E25-4552-96C5-D6739958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DA4B8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A4B8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DA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8D121D"/>
    <w:pPr>
      <w:ind w:firstLineChars="200" w:firstLine="420"/>
    </w:pPr>
    <w:rPr>
      <w:rFonts w:ascii="Times New Roman" w:hAnsi="Times New Roman"/>
      <w:szCs w:val="20"/>
    </w:rPr>
  </w:style>
  <w:style w:type="paragraph" w:styleId="a8">
    <w:name w:val="List Paragraph"/>
    <w:basedOn w:val="a"/>
    <w:uiPriority w:val="34"/>
    <w:qFormat/>
    <w:rsid w:val="0034152A"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1927</Words>
  <Characters>853</Characters>
  <Application>Microsoft Office Word</Application>
  <DocSecurity>0</DocSecurity>
  <Lines>7</Lines>
  <Paragraphs>5</Paragraphs>
  <ScaleCrop>false</ScaleCrop>
  <Company>P R C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gyb1</cp:lastModifiedBy>
  <cp:revision>49</cp:revision>
  <dcterms:created xsi:type="dcterms:W3CDTF">2020-11-26T02:57:00Z</dcterms:created>
  <dcterms:modified xsi:type="dcterms:W3CDTF">2021-02-04T08:26:00Z</dcterms:modified>
</cp:coreProperties>
</file>