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inorEastAsia" w:hAnsiTheme="minorEastAsia" w:eastAsiaTheme="minorEastAsia" w:cstheme="minorEastAsia"/>
          <w:b w:val="0"/>
          <w:bCs/>
          <w:kern w:val="0"/>
          <w:sz w:val="44"/>
          <w:szCs w:val="44"/>
        </w:rPr>
      </w:pPr>
      <w:r>
        <w:rPr>
          <w:rFonts w:hint="eastAsia" w:asciiTheme="minorEastAsia" w:hAnsiTheme="minorEastAsia" w:eastAsiaTheme="minorEastAsia" w:cstheme="minorEastAsia"/>
          <w:b w:val="0"/>
          <w:bCs/>
          <w:sz w:val="44"/>
          <w:szCs w:val="44"/>
        </w:rPr>
        <w:t>生物刺激反馈仪</w:t>
      </w:r>
      <w:r>
        <w:rPr>
          <w:rFonts w:hint="eastAsia" w:asciiTheme="minorEastAsia" w:hAnsiTheme="minorEastAsia" w:eastAsiaTheme="minorEastAsia" w:cstheme="minorEastAsia"/>
          <w:b w:val="0"/>
          <w:bCs/>
          <w:sz w:val="44"/>
          <w:szCs w:val="44"/>
          <w:lang w:val="en-US" w:eastAsia="zh-CN"/>
        </w:rPr>
        <w:t>技术</w:t>
      </w:r>
      <w:r>
        <w:rPr>
          <w:rFonts w:hint="eastAsia" w:asciiTheme="minorEastAsia" w:hAnsiTheme="minorEastAsia" w:eastAsiaTheme="minorEastAsia" w:cstheme="minorEastAsia"/>
          <w:b w:val="0"/>
          <w:bCs/>
          <w:sz w:val="44"/>
          <w:szCs w:val="44"/>
        </w:rPr>
        <w:t>参数</w:t>
      </w:r>
    </w:p>
    <w:p>
      <w:pPr>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lang w:val="en-US" w:eastAsia="zh-CN"/>
        </w:rPr>
        <w:t>一、</w:t>
      </w:r>
      <w:r>
        <w:rPr>
          <w:rFonts w:hint="eastAsia" w:asciiTheme="minorEastAsia" w:hAnsiTheme="minorEastAsia" w:eastAsiaTheme="minorEastAsia" w:cstheme="minorEastAsia"/>
          <w:b w:val="0"/>
          <w:bCs/>
          <w:kern w:val="0"/>
          <w:sz w:val="28"/>
          <w:szCs w:val="28"/>
        </w:rPr>
        <w:t>硬件要求：</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主机：集成化一体式机箱设计（信号采集和电刺激模块与工</w:t>
      </w:r>
      <w:r>
        <w:rPr>
          <w:rFonts w:hint="eastAsia" w:asciiTheme="minorEastAsia" w:hAnsiTheme="minorEastAsia" w:eastAsiaTheme="minorEastAsia" w:cstheme="minorEastAsia"/>
          <w:kern w:val="0"/>
          <w:sz w:val="28"/>
          <w:szCs w:val="28"/>
        </w:rPr>
        <w:t>控</w:t>
      </w:r>
      <w:r>
        <w:rPr>
          <w:rFonts w:hint="eastAsia" w:asciiTheme="minorEastAsia" w:hAnsiTheme="minorEastAsia" w:eastAsiaTheme="minorEastAsia" w:cstheme="minorEastAsia"/>
          <w:kern w:val="0"/>
          <w:sz w:val="28"/>
          <w:szCs w:val="28"/>
        </w:rPr>
        <w:t>机封装于同一机箱内）。</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★主机多功能物理通道</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4个，其</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中</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4个电刺激通道（STIM），</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3个肌电采集通道（EMG）。</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每个通道均设置各自的独立控制不同刺激强度。</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★肌电采集范围：2-2500μV（r.m.s）</w:t>
      </w:r>
      <w:r>
        <w:rPr>
          <w:rFonts w:hint="eastAsia" w:asciiTheme="minorEastAsia" w:hAnsiTheme="minorEastAsia" w:eastAsiaTheme="minorEastAsia" w:cstheme="minorEastAsia"/>
          <w:kern w:val="0"/>
          <w:sz w:val="28"/>
          <w:szCs w:val="28"/>
          <w:lang w:eastAsia="zh-CN"/>
        </w:rPr>
        <w:t>。</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rPr>
        <w:t>分辨率：</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0.5μV（r.m.s）</w:t>
      </w:r>
      <w:r>
        <w:rPr>
          <w:rFonts w:hint="eastAsia" w:asciiTheme="minorEastAsia" w:hAnsiTheme="minorEastAsia" w:eastAsiaTheme="minorEastAsia" w:cstheme="minorEastAsia"/>
          <w:kern w:val="0"/>
          <w:sz w:val="28"/>
          <w:szCs w:val="28"/>
          <w:lang w:eastAsia="zh-CN"/>
        </w:rPr>
        <w:t>。</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通频带：</w:t>
      </w:r>
      <w:r>
        <w:rPr>
          <w:rFonts w:hint="eastAsia" w:asciiTheme="minorEastAsia" w:hAnsiTheme="minorEastAsia" w:eastAsiaTheme="minorEastAsia" w:cstheme="minorEastAsia"/>
          <w:sz w:val="28"/>
          <w:szCs w:val="28"/>
        </w:rPr>
        <w:t>不窄于</w:t>
      </w:r>
      <w:r>
        <w:rPr>
          <w:rFonts w:hint="eastAsia" w:asciiTheme="minorEastAsia" w:hAnsiTheme="minorEastAsia" w:eastAsiaTheme="minorEastAsia" w:cstheme="minorEastAsia"/>
          <w:kern w:val="0"/>
          <w:sz w:val="28"/>
          <w:szCs w:val="28"/>
        </w:rPr>
        <w:t>20Hz～500Hz (-3dB)</w:t>
      </w:r>
      <w:r>
        <w:rPr>
          <w:rFonts w:hint="eastAsia" w:asciiTheme="minorEastAsia" w:hAnsiTheme="minorEastAsia" w:eastAsiaTheme="minorEastAsia" w:cstheme="minorEastAsia"/>
          <w:kern w:val="0"/>
          <w:sz w:val="28"/>
          <w:szCs w:val="28"/>
          <w:lang w:eastAsia="zh-CN"/>
        </w:rPr>
        <w:t>。</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刺激电流强度：0-100mA，步进0.5mA可调节。</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★电刺激脉冲宽度：</w:t>
      </w: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rPr>
        <w:t>0-9</w:t>
      </w:r>
      <w:r>
        <w:rPr>
          <w:rFonts w:hint="eastAsia" w:asciiTheme="minorEastAsia" w:hAnsiTheme="minorEastAsia" w:eastAsiaTheme="minorEastAsia" w:cstheme="minorEastAsia"/>
          <w:kern w:val="0"/>
          <w:sz w:val="28"/>
          <w:szCs w:val="28"/>
        </w:rPr>
        <w:t>0</w:t>
      </w:r>
      <w:r>
        <w:rPr>
          <w:rFonts w:hint="eastAsia" w:asciiTheme="minorEastAsia" w:hAnsiTheme="minorEastAsia" w:eastAsiaTheme="minorEastAsia" w:cstheme="minorEastAsia"/>
          <w:kern w:val="0"/>
          <w:sz w:val="28"/>
          <w:szCs w:val="28"/>
        </w:rPr>
        <w:t>0μs，步进10us可调节。</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★电刺激脉冲频率：</w:t>
      </w: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rPr>
        <w:t>25</w:t>
      </w:r>
      <w:r>
        <w:rPr>
          <w:rFonts w:hint="eastAsia" w:asciiTheme="minorEastAsia" w:hAnsiTheme="minorEastAsia" w:eastAsiaTheme="minorEastAsia" w:cstheme="minorEastAsia"/>
          <w:kern w:val="0"/>
          <w:sz w:val="28"/>
          <w:szCs w:val="28"/>
        </w:rPr>
        <w:t>0Hz，步进1Hz可调节。</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上升/下降时间：0s～18s</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可调。</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一键式开机，直接进入软件操作界面，一键式关机。</w:t>
      </w:r>
    </w:p>
    <w:p>
      <w:pPr>
        <w:jc w:val="left"/>
        <w:rPr>
          <w:rFonts w:hint="eastAsia" w:asciiTheme="minorEastAsia" w:hAnsiTheme="minorEastAsia" w:eastAsiaTheme="minorEastAsia" w:cstheme="minorEastAsia"/>
          <w:b w:val="0"/>
          <w:bCs/>
          <w:kern w:val="0"/>
          <w:sz w:val="28"/>
          <w:szCs w:val="28"/>
        </w:rPr>
      </w:pPr>
      <w:r>
        <w:rPr>
          <w:rFonts w:hint="eastAsia" w:asciiTheme="minorEastAsia" w:hAnsiTheme="minorEastAsia" w:eastAsiaTheme="minorEastAsia" w:cstheme="minorEastAsia"/>
          <w:b w:val="0"/>
          <w:bCs/>
          <w:kern w:val="0"/>
          <w:sz w:val="28"/>
          <w:szCs w:val="28"/>
          <w:lang w:val="en-US" w:eastAsia="zh-CN"/>
        </w:rPr>
        <w:t>二、</w:t>
      </w:r>
      <w:r>
        <w:rPr>
          <w:rFonts w:hint="eastAsia" w:asciiTheme="minorEastAsia" w:hAnsiTheme="minorEastAsia" w:eastAsiaTheme="minorEastAsia" w:cstheme="minorEastAsia"/>
          <w:b w:val="0"/>
          <w:bCs/>
          <w:kern w:val="0"/>
          <w:sz w:val="28"/>
          <w:szCs w:val="28"/>
        </w:rPr>
        <w:t>软件</w:t>
      </w:r>
      <w:r>
        <w:rPr>
          <w:rFonts w:hint="eastAsia" w:asciiTheme="minorEastAsia" w:hAnsiTheme="minorEastAsia" w:eastAsiaTheme="minorEastAsia" w:cstheme="minorEastAsia"/>
          <w:b w:val="0"/>
          <w:bCs/>
          <w:kern w:val="0"/>
          <w:sz w:val="28"/>
          <w:szCs w:val="28"/>
          <w:lang w:val="en-US" w:eastAsia="zh-CN"/>
        </w:rPr>
        <w:t>要求</w:t>
      </w:r>
      <w:r>
        <w:rPr>
          <w:rFonts w:hint="eastAsia" w:asciiTheme="minorEastAsia" w:hAnsiTheme="minorEastAsia" w:eastAsiaTheme="minorEastAsia" w:cstheme="minorEastAsia"/>
          <w:b w:val="0"/>
          <w:bCs/>
          <w:kern w:val="0"/>
          <w:sz w:val="28"/>
          <w:szCs w:val="28"/>
        </w:rPr>
        <w:t>:</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1.</w:t>
      </w:r>
      <w:r>
        <w:rPr>
          <w:rFonts w:hint="eastAsia" w:asciiTheme="minorEastAsia" w:hAnsiTheme="minorEastAsia" w:eastAsiaTheme="minorEastAsia" w:cstheme="minorEastAsia"/>
          <w:kern w:val="0"/>
          <w:sz w:val="28"/>
          <w:szCs w:val="28"/>
        </w:rPr>
        <w:t>筛查模式用于短时间内筛查出盆底肌异常者。筛查指标包括：前静息平均值、前静息变异性、快速收缩上升时间、快速收缩最大值、快速收缩下降时间、持续收缩平均值、持续收缩变异性、后静息平均值、后静息变异性</w:t>
      </w:r>
      <w:r>
        <w:rPr>
          <w:rFonts w:hint="eastAsia" w:asciiTheme="minorEastAsia" w:hAnsiTheme="minorEastAsia" w:eastAsiaTheme="minorEastAsia" w:cstheme="minorEastAsia"/>
          <w:kern w:val="0"/>
          <w:sz w:val="28"/>
          <w:szCs w:val="28"/>
          <w:lang w:val="en-US" w:eastAsia="zh-CN"/>
        </w:rPr>
        <w:t>等</w:t>
      </w:r>
      <w:r>
        <w:rPr>
          <w:rFonts w:hint="eastAsia" w:asciiTheme="minorEastAsia" w:hAnsiTheme="minorEastAsia" w:eastAsiaTheme="minorEastAsia" w:cstheme="minorEastAsia"/>
          <w:kern w:val="0"/>
          <w:sz w:val="28"/>
          <w:szCs w:val="28"/>
        </w:rPr>
        <w:t>。</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盆底表面肌电标准评估（Glazer评估），对盆底肌肉进行全面且标准化的评估。评估指标包括：前静息平均值，前静息变异性，快速收缩上升时间，快速收缩最大值，快速收缩下降时间，持续收缩平均值，持续收缩变异性，耐久收缩平均值、耐久收缩变异性、耐久收缩后前10秒比值、后静息平均值，后静息变异性</w:t>
      </w:r>
      <w:r>
        <w:rPr>
          <w:rFonts w:hint="eastAsia" w:asciiTheme="minorEastAsia" w:hAnsiTheme="minorEastAsia" w:eastAsiaTheme="minorEastAsia" w:cstheme="minorEastAsia"/>
          <w:kern w:val="0"/>
          <w:sz w:val="28"/>
          <w:szCs w:val="28"/>
          <w:lang w:val="en-US" w:eastAsia="zh-CN"/>
        </w:rPr>
        <w:t>等</w:t>
      </w:r>
      <w:r>
        <w:rPr>
          <w:rFonts w:hint="eastAsia" w:asciiTheme="minorEastAsia" w:hAnsiTheme="minorEastAsia" w:eastAsiaTheme="minorEastAsia" w:cstheme="minorEastAsia"/>
          <w:kern w:val="0"/>
          <w:sz w:val="28"/>
          <w:szCs w:val="28"/>
        </w:rPr>
        <w:t>。</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肌电筛查、评估报告包括筛查、评估指标数值、参考值、盆底肌肌电图、腹肌肌电图、报告简要解读说明和治疗建议</w:t>
      </w:r>
      <w:r>
        <w:rPr>
          <w:rFonts w:hint="eastAsia" w:asciiTheme="minorEastAsia" w:hAnsiTheme="minorEastAsia" w:eastAsiaTheme="minorEastAsia" w:cstheme="minorEastAsia"/>
          <w:kern w:val="0"/>
          <w:sz w:val="28"/>
          <w:szCs w:val="28"/>
          <w:lang w:val="en-US" w:eastAsia="zh-CN"/>
        </w:rPr>
        <w:t>等</w:t>
      </w:r>
      <w:r>
        <w:rPr>
          <w:rFonts w:hint="eastAsia" w:asciiTheme="minorEastAsia" w:hAnsiTheme="minorEastAsia" w:eastAsiaTheme="minorEastAsia" w:cstheme="minorEastAsia"/>
          <w:kern w:val="0"/>
          <w:sz w:val="28"/>
          <w:szCs w:val="28"/>
        </w:rPr>
        <w:t>。</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★系统自动对筛查、评估的每个阶段进行打分，并计算出整个过程的最终得分。</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筛查、评估和治疗过程中，系统提供语音指导。</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6.</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sz w:val="28"/>
          <w:szCs w:val="28"/>
        </w:rPr>
        <w:t>系统可根据盆底筛查或评估结果自动生成针对不同患者的疗程化盆底训练方案。</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7.</w:t>
      </w:r>
      <w:r>
        <w:rPr>
          <w:rFonts w:hint="eastAsia" w:asciiTheme="minorEastAsia" w:hAnsiTheme="minorEastAsia" w:eastAsiaTheme="minorEastAsia" w:cstheme="minorEastAsia"/>
          <w:kern w:val="0"/>
          <w:sz w:val="28"/>
          <w:szCs w:val="28"/>
        </w:rPr>
        <w:t>★系统可将训练方案（包括电刺激、触发电刺激、生物反馈训练、多媒体游戏训练）通过无线方式传输至</w:t>
      </w:r>
      <w:r>
        <w:rPr>
          <w:rFonts w:hint="eastAsia" w:asciiTheme="minorEastAsia" w:hAnsiTheme="minorEastAsia" w:eastAsiaTheme="minorEastAsia" w:cstheme="minorEastAsia"/>
          <w:kern w:val="0"/>
          <w:sz w:val="28"/>
          <w:szCs w:val="28"/>
        </w:rPr>
        <w:t>盆底生物刺激反馈类设备</w:t>
      </w:r>
      <w:r>
        <w:rPr>
          <w:rFonts w:hint="eastAsia" w:asciiTheme="minorEastAsia" w:hAnsiTheme="minorEastAsia" w:eastAsiaTheme="minorEastAsia" w:cstheme="minorEastAsia"/>
          <w:kern w:val="0"/>
          <w:sz w:val="28"/>
          <w:szCs w:val="28"/>
        </w:rPr>
        <w:t>（由主机和手机APP软件等组成），医生可通过手机APP查看患者的训练数据。</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8.</w:t>
      </w:r>
      <w:r>
        <w:rPr>
          <w:rFonts w:hint="eastAsia" w:asciiTheme="minorEastAsia" w:hAnsiTheme="minorEastAsia" w:eastAsiaTheme="minorEastAsia" w:cstheme="minorEastAsia"/>
          <w:kern w:val="0"/>
          <w:sz w:val="28"/>
          <w:szCs w:val="28"/>
        </w:rPr>
        <w:t>多种治疗模式，包括神经肌肉电刺激、肌电触发电刺激、Kegel模板训练、多媒体游戏训练</w:t>
      </w:r>
      <w:r>
        <w:rPr>
          <w:rFonts w:hint="eastAsia" w:asciiTheme="minorEastAsia" w:hAnsiTheme="minorEastAsia" w:eastAsiaTheme="minorEastAsia" w:cstheme="minorEastAsia"/>
          <w:kern w:val="0"/>
          <w:sz w:val="28"/>
          <w:szCs w:val="28"/>
          <w:lang w:val="en-US" w:eastAsia="zh-CN"/>
        </w:rPr>
        <w:t>等</w:t>
      </w:r>
      <w:r>
        <w:rPr>
          <w:rFonts w:hint="eastAsia" w:asciiTheme="minorEastAsia" w:hAnsiTheme="minorEastAsia" w:eastAsiaTheme="minorEastAsia" w:cstheme="minorEastAsia"/>
          <w:kern w:val="0"/>
          <w:sz w:val="28"/>
          <w:szCs w:val="28"/>
        </w:rPr>
        <w:t>。</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rPr>
        <w:t>内置多种盆底康复方案和产后康复方案，且所有内置方案参数可查看，也可以导入、导出。</w:t>
      </w:r>
    </w:p>
    <w:p>
      <w:pPr>
        <w:numPr>
          <w:ilvl w:val="0"/>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10.</w:t>
      </w:r>
      <w:r>
        <w:rPr>
          <w:rFonts w:hint="eastAsia" w:asciiTheme="minorEastAsia" w:hAnsiTheme="minorEastAsia" w:eastAsiaTheme="minorEastAsia" w:cstheme="minorEastAsia"/>
          <w:kern w:val="0"/>
          <w:sz w:val="28"/>
          <w:szCs w:val="28"/>
        </w:rPr>
        <w:t>所有盆底方案的刺激电流强度可以在治疗前预设，并在下次治疗之前显示上次的电流强度。</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盆底治疗过程中可以对电刺激的强度、频率、脉宽、刺激时间、休息时间参数进行调节。</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单个电刺激治疗可设置变频模式，实现刺激过程中至少两种频率以及脉宽之间转换。</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肌电触发电刺激模式包括阈值上刺激和阈值下刺激，系统可根据肌肉收缩情况自动调整阈值。</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rPr>
        <w:t>Kegel训练可采用肌电值和MVC%（最大随意收缩力的百分比）两种模式。其中MVC%模式可根据患者的自身情况，调节模板训练的难度。</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触发电刺激、Kegel训练可查看训练记录，Kegel训练可查看训练期间的盆底肌肌电图和腹肌肌电图。</w:t>
      </w:r>
    </w:p>
    <w:p>
      <w:pPr>
        <w:numPr>
          <w:ilvl w:val="0"/>
          <w:numId w:val="1"/>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多台设备可实现筛查评估及治疗数据的自动实时同步。</w:t>
      </w:r>
    </w:p>
    <w:p>
      <w:pPr>
        <w:numPr>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en-US" w:eastAsia="zh-CN"/>
        </w:rPr>
        <w:t>三、</w:t>
      </w:r>
      <w:r>
        <w:rPr>
          <w:rFonts w:hint="eastAsia" w:asciiTheme="minorEastAsia" w:hAnsiTheme="minorEastAsia" w:eastAsiaTheme="minorEastAsia" w:cstheme="minorEastAsia"/>
          <w:kern w:val="0"/>
          <w:sz w:val="28"/>
          <w:szCs w:val="28"/>
        </w:rPr>
        <w:t>耗材</w:t>
      </w:r>
    </w:p>
    <w:p>
      <w:p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1、可与</w:t>
      </w:r>
      <w:r>
        <w:rPr>
          <w:rFonts w:hint="eastAsia" w:asciiTheme="minorEastAsia" w:hAnsiTheme="minorEastAsia" w:cstheme="minorEastAsia"/>
          <w:kern w:val="0"/>
          <w:sz w:val="28"/>
          <w:szCs w:val="28"/>
          <w:lang w:val="en-US" w:eastAsia="zh-CN"/>
        </w:rPr>
        <w:t>该设备</w:t>
      </w:r>
      <w:r>
        <w:rPr>
          <w:rFonts w:hint="eastAsia" w:asciiTheme="minorEastAsia" w:hAnsiTheme="minorEastAsia" w:eastAsiaTheme="minorEastAsia" w:cstheme="minorEastAsia"/>
          <w:kern w:val="0"/>
          <w:sz w:val="28"/>
          <w:szCs w:val="28"/>
        </w:rPr>
        <w:t>配套使用</w:t>
      </w:r>
    </w:p>
    <w:p>
      <w:pPr>
        <w:numPr>
          <w:numId w:val="0"/>
        </w:numPr>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2、耗材为渠道招标，合同有效期为1年：</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70"/>
        <w:gridCol w:w="3320"/>
        <w:gridCol w:w="20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序号</w:t>
            </w:r>
          </w:p>
        </w:tc>
        <w:tc>
          <w:tcPr>
            <w:tcW w:w="332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耗材名称</w:t>
            </w:r>
          </w:p>
        </w:tc>
        <w:tc>
          <w:tcPr>
            <w:tcW w:w="201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规格</w:t>
            </w:r>
          </w:p>
        </w:tc>
        <w:tc>
          <w:tcPr>
            <w:tcW w:w="14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vertAlign w:val="baseline"/>
                <w:lang w:val="en-US" w:eastAsia="zh-CN"/>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1</w:t>
            </w:r>
          </w:p>
        </w:tc>
        <w:tc>
          <w:tcPr>
            <w:tcW w:w="332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阴道电极</w:t>
            </w:r>
          </w:p>
        </w:tc>
        <w:tc>
          <w:tcPr>
            <w:tcW w:w="2010" w:type="dxa"/>
          </w:tcPr>
          <w:p>
            <w:pPr>
              <w:numPr>
                <w:numId w:val="0"/>
              </w:numPr>
              <w:jc w:val="left"/>
              <w:rPr>
                <w:rFonts w:hint="eastAsia" w:asciiTheme="minorEastAsia" w:hAnsiTheme="minorEastAsia" w:eastAsiaTheme="minorEastAsia" w:cstheme="minorEastAsia"/>
                <w:kern w:val="0"/>
                <w:sz w:val="28"/>
                <w:szCs w:val="28"/>
                <w:vertAlign w:val="baseline"/>
              </w:rPr>
            </w:pPr>
          </w:p>
        </w:tc>
        <w:tc>
          <w:tcPr>
            <w:tcW w:w="14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rPr>
              <w:t>00</w:t>
            </w:r>
            <w:r>
              <w:rPr>
                <w:rFonts w:hint="eastAsia" w:asciiTheme="minorEastAsia" w:hAnsiTheme="minorEastAsia" w:eastAsiaTheme="minorEastAsia" w:cstheme="minorEastAsia"/>
                <w:kern w:val="0"/>
                <w:sz w:val="28"/>
                <w:szCs w:val="2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2</w:t>
            </w:r>
          </w:p>
        </w:tc>
        <w:tc>
          <w:tcPr>
            <w:tcW w:w="332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一次性使用阴道电极</w:t>
            </w:r>
          </w:p>
        </w:tc>
        <w:tc>
          <w:tcPr>
            <w:tcW w:w="2010" w:type="dxa"/>
          </w:tcPr>
          <w:p>
            <w:pPr>
              <w:numPr>
                <w:numId w:val="0"/>
              </w:numPr>
              <w:jc w:val="left"/>
              <w:rPr>
                <w:rFonts w:hint="eastAsia" w:asciiTheme="minorEastAsia" w:hAnsiTheme="minorEastAsia" w:eastAsiaTheme="minorEastAsia" w:cstheme="minorEastAsia"/>
                <w:kern w:val="0"/>
                <w:sz w:val="28"/>
                <w:szCs w:val="28"/>
                <w:vertAlign w:val="baseline"/>
              </w:rPr>
            </w:pPr>
          </w:p>
        </w:tc>
        <w:tc>
          <w:tcPr>
            <w:tcW w:w="14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rPr>
              <w:t>00</w:t>
            </w:r>
            <w:r>
              <w:rPr>
                <w:rFonts w:hint="eastAsia" w:asciiTheme="minorEastAsia" w:hAnsiTheme="minorEastAsia" w:eastAsiaTheme="minorEastAsia" w:cstheme="minorEastAsia"/>
                <w:kern w:val="0"/>
                <w:sz w:val="28"/>
                <w:szCs w:val="2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3</w:t>
            </w:r>
          </w:p>
        </w:tc>
        <w:tc>
          <w:tcPr>
            <w:tcW w:w="332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盆底肌肉康复器</w:t>
            </w:r>
          </w:p>
        </w:tc>
        <w:tc>
          <w:tcPr>
            <w:tcW w:w="2010" w:type="dxa"/>
          </w:tcPr>
          <w:p>
            <w:pPr>
              <w:numPr>
                <w:numId w:val="0"/>
              </w:numPr>
              <w:jc w:val="left"/>
              <w:rPr>
                <w:rFonts w:hint="eastAsia" w:asciiTheme="minorEastAsia" w:hAnsiTheme="minorEastAsia" w:eastAsiaTheme="minorEastAsia" w:cstheme="minorEastAsia"/>
                <w:kern w:val="0"/>
                <w:sz w:val="28"/>
                <w:szCs w:val="28"/>
                <w:vertAlign w:val="baseline"/>
              </w:rPr>
            </w:pPr>
          </w:p>
        </w:tc>
        <w:tc>
          <w:tcPr>
            <w:tcW w:w="14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rPr>
              <w:t>00</w:t>
            </w:r>
            <w:r>
              <w:rPr>
                <w:rFonts w:hint="eastAsia" w:asciiTheme="minorEastAsia" w:hAnsiTheme="minorEastAsia" w:eastAsiaTheme="minorEastAsia" w:cstheme="minorEastAsia"/>
                <w:kern w:val="0"/>
                <w:sz w:val="28"/>
                <w:szCs w:val="2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4</w:t>
            </w:r>
          </w:p>
        </w:tc>
        <w:tc>
          <w:tcPr>
            <w:tcW w:w="332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理疗用体表电极（方型）</w:t>
            </w:r>
          </w:p>
        </w:tc>
        <w:tc>
          <w:tcPr>
            <w:tcW w:w="20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50mm*50mm</w:t>
            </w:r>
          </w:p>
        </w:tc>
        <w:tc>
          <w:tcPr>
            <w:tcW w:w="14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rPr>
              <w:t>00</w:t>
            </w:r>
            <w:r>
              <w:rPr>
                <w:rFonts w:hint="eastAsia" w:asciiTheme="minorEastAsia" w:hAnsiTheme="minorEastAsia" w:eastAsiaTheme="minorEastAsia" w:cstheme="minorEastAsia"/>
                <w:kern w:val="0"/>
                <w:sz w:val="28"/>
                <w:szCs w:val="2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5</w:t>
            </w:r>
          </w:p>
        </w:tc>
        <w:tc>
          <w:tcPr>
            <w:tcW w:w="332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理疗用体表电极（矩形）</w:t>
            </w:r>
          </w:p>
        </w:tc>
        <w:tc>
          <w:tcPr>
            <w:tcW w:w="20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70mm*120mm</w:t>
            </w:r>
          </w:p>
        </w:tc>
        <w:tc>
          <w:tcPr>
            <w:tcW w:w="14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rPr>
              <w:t>00</w:t>
            </w:r>
            <w:r>
              <w:rPr>
                <w:rFonts w:hint="eastAsia" w:asciiTheme="minorEastAsia" w:hAnsiTheme="minorEastAsia" w:eastAsiaTheme="minorEastAsia" w:cstheme="minorEastAsia"/>
                <w:kern w:val="0"/>
                <w:sz w:val="28"/>
                <w:szCs w:val="28"/>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70" w:type="dxa"/>
          </w:tcPr>
          <w:p>
            <w:pPr>
              <w:numPr>
                <w:numId w:val="0"/>
              </w:numPr>
              <w:jc w:val="left"/>
              <w:rPr>
                <w:rFonts w:hint="eastAsia" w:asciiTheme="minorEastAsia" w:hAnsiTheme="minorEastAsia" w:eastAsiaTheme="minorEastAsia" w:cstheme="minorEastAsia"/>
                <w:kern w:val="0"/>
                <w:sz w:val="28"/>
                <w:szCs w:val="28"/>
                <w:vertAlign w:val="baseline"/>
                <w:lang w:val="en-US" w:eastAsia="zh-CN"/>
              </w:rPr>
            </w:pPr>
            <w:r>
              <w:rPr>
                <w:rFonts w:hint="eastAsia" w:asciiTheme="minorEastAsia" w:hAnsiTheme="minorEastAsia" w:eastAsiaTheme="minorEastAsia" w:cstheme="minorEastAsia"/>
                <w:kern w:val="0"/>
                <w:sz w:val="28"/>
                <w:szCs w:val="28"/>
                <w:vertAlign w:val="baseline"/>
                <w:lang w:val="en-US" w:eastAsia="zh-CN"/>
              </w:rPr>
              <w:t>6</w:t>
            </w:r>
          </w:p>
        </w:tc>
        <w:tc>
          <w:tcPr>
            <w:tcW w:w="332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理疗用体表电极（乳型）</w:t>
            </w:r>
          </w:p>
        </w:tc>
        <w:tc>
          <w:tcPr>
            <w:tcW w:w="20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72mm*156mm</w:t>
            </w:r>
          </w:p>
        </w:tc>
        <w:tc>
          <w:tcPr>
            <w:tcW w:w="1410" w:type="dxa"/>
          </w:tcPr>
          <w:p>
            <w:pPr>
              <w:numPr>
                <w:numId w:val="0"/>
              </w:numPr>
              <w:jc w:val="left"/>
              <w:rPr>
                <w:rFonts w:hint="eastAsia" w:asciiTheme="minorEastAsia" w:hAnsiTheme="minorEastAsia" w:eastAsiaTheme="minorEastAsia" w:cstheme="minorEastAsia"/>
                <w:kern w:val="0"/>
                <w:sz w:val="28"/>
                <w:szCs w:val="28"/>
                <w:vertAlign w:val="baseline"/>
              </w:rPr>
            </w:pP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rPr>
              <w:t>0</w:t>
            </w:r>
            <w:r>
              <w:rPr>
                <w:rFonts w:hint="eastAsia" w:asciiTheme="minorEastAsia" w:hAnsiTheme="minorEastAsia" w:eastAsiaTheme="minorEastAsia" w:cstheme="minorEastAsia"/>
                <w:kern w:val="0"/>
                <w:sz w:val="28"/>
                <w:szCs w:val="28"/>
              </w:rPr>
              <w:t>只</w:t>
            </w:r>
          </w:p>
        </w:tc>
      </w:tr>
    </w:tbl>
    <w:p>
      <w:pPr>
        <w:rPr>
          <w:rStyle w:val="10"/>
          <w:rFonts w:hint="eastAsia" w:asciiTheme="minorEastAsia" w:hAnsiTheme="minorEastAsia" w:eastAsiaTheme="minorEastAsia" w:cstheme="minorEastAsia"/>
          <w:b/>
          <w:bCs/>
          <w:sz w:val="28"/>
          <w:szCs w:val="28"/>
        </w:rPr>
      </w:pPr>
      <w:r>
        <w:rPr>
          <w:rStyle w:val="10"/>
          <w:rFonts w:hint="eastAsia" w:asciiTheme="minorEastAsia" w:hAnsiTheme="minorEastAsia" w:eastAsiaTheme="minorEastAsia" w:cstheme="minorEastAsia"/>
          <w:b/>
          <w:bCs/>
          <w:sz w:val="28"/>
          <w:szCs w:val="28"/>
          <w:lang w:val="en-US" w:eastAsia="zh-CN"/>
        </w:rPr>
        <w:t>四</w:t>
      </w:r>
      <w:r>
        <w:rPr>
          <w:rStyle w:val="10"/>
          <w:rFonts w:hint="eastAsia" w:asciiTheme="minorEastAsia" w:hAnsiTheme="minorEastAsia" w:eastAsiaTheme="minorEastAsia" w:cstheme="minorEastAsia"/>
          <w:b/>
          <w:bCs/>
          <w:sz w:val="28"/>
          <w:szCs w:val="28"/>
        </w:rPr>
        <w:t>、售后服务要求：</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7938" w:type="dxa"/>
          </w:tcPr>
          <w:p>
            <w:pPr>
              <w:spacing w:line="315" w:lineRule="atLeast"/>
              <w:jc w:val="center"/>
              <w:textAlignment w:val="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7938" w:type="dxa"/>
          </w:tcPr>
          <w:p>
            <w:pPr>
              <w:spacing w:line="315" w:lineRule="atLeas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整机质保不少于三年。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7938" w:type="dxa"/>
          </w:tcPr>
          <w:p>
            <w:pPr>
              <w:widowControl w:val="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提供全年原厂7</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24小时技术支持，</w:t>
            </w:r>
            <w:r>
              <w:rPr>
                <w:rFonts w:hint="eastAsia" w:asciiTheme="minorEastAsia" w:hAnsiTheme="minorEastAsia" w:eastAsiaTheme="minorEastAsia" w:cstheme="minorEastAsia"/>
                <w:kern w:val="0"/>
                <w:sz w:val="28"/>
                <w:szCs w:val="28"/>
              </w:rPr>
              <w:t>软件系统终身免费升级</w:t>
            </w:r>
            <w:r>
              <w:rPr>
                <w:rFonts w:hint="eastAsia" w:asciiTheme="minorEastAsia" w:hAnsiTheme="minorEastAsia" w:eastAsiaTheme="minorEastAsia" w:cstheme="minorEastAsia"/>
                <w:kern w:val="0"/>
                <w:sz w:val="28"/>
                <w:szCs w:val="28"/>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7938" w:type="dxa"/>
          </w:tcPr>
          <w:p>
            <w:pPr>
              <w:widowControl w:val="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安装调试后完成进行性能验证，并提供验证报告</w:t>
            </w:r>
            <w:r>
              <w:rPr>
                <w:rFonts w:hint="eastAsia" w:asciiTheme="minorEastAsia" w:hAnsiTheme="minorEastAsia" w:eastAsiaTheme="minorEastAsia" w:cstheme="minorEastAsia"/>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4</w:t>
            </w:r>
          </w:p>
        </w:tc>
        <w:tc>
          <w:tcPr>
            <w:tcW w:w="7938" w:type="dxa"/>
          </w:tcPr>
          <w:p>
            <w:pPr>
              <w:spacing w:line="315" w:lineRule="atLeas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质保期外易损件需报价，如不报价视为免费赠送。质保期外维修、检测、升级等均免上门服务费（提供承诺函）。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7938" w:type="dxa"/>
          </w:tcPr>
          <w:p>
            <w:pPr>
              <w:spacing w:line="315" w:lineRule="atLeas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故障报修响应时间≤</w:t>
            </w:r>
            <w:r>
              <w:rPr>
                <w:rFonts w:hint="eastAsia" w:asciiTheme="minorEastAsia" w:hAnsiTheme="minorEastAsia" w:eastAsiaTheme="minorEastAsia" w:cstheme="minorEastAsia"/>
                <w:kern w:val="0"/>
                <w:sz w:val="28"/>
                <w:szCs w:val="28"/>
              </w:rPr>
              <w:t>0.5</w:t>
            </w:r>
            <w:r>
              <w:rPr>
                <w:rFonts w:hint="eastAsia" w:asciiTheme="minorEastAsia" w:hAnsiTheme="minorEastAsia" w:eastAsiaTheme="minorEastAsia" w:cstheme="minorEastAsia"/>
                <w:kern w:val="0"/>
                <w:sz w:val="28"/>
                <w:szCs w:val="28"/>
              </w:rPr>
              <w:t>小时，接到维护电话</w:t>
            </w: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rPr>
              <w:t>小时抵达现场，如需返厂维修，</w:t>
            </w:r>
            <w:r>
              <w:rPr>
                <w:rFonts w:hint="eastAsia" w:asciiTheme="minorEastAsia" w:hAnsiTheme="minorEastAsia" w:eastAsiaTheme="minorEastAsia" w:cstheme="minorEastAsia"/>
                <w:kern w:val="0"/>
                <w:sz w:val="28"/>
                <w:szCs w:val="28"/>
                <w:lang w:val="en-US" w:eastAsia="zh-CN"/>
              </w:rPr>
              <w:t>需</w:t>
            </w:r>
            <w:r>
              <w:rPr>
                <w:rFonts w:hint="eastAsia" w:asciiTheme="minorEastAsia" w:hAnsiTheme="minorEastAsia" w:eastAsiaTheme="minorEastAsia" w:cstheme="minorEastAsia"/>
                <w:kern w:val="0"/>
                <w:sz w:val="28"/>
                <w:szCs w:val="28"/>
              </w:rPr>
              <w:t>提供备用机（提供承诺函）。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7938" w:type="dxa"/>
          </w:tcPr>
          <w:p>
            <w:pPr>
              <w:widowControl w:val="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服务期内</w:t>
            </w:r>
            <w:r>
              <w:rPr>
                <w:rFonts w:hint="eastAsia" w:asciiTheme="minorEastAsia" w:hAnsiTheme="minorEastAsia" w:eastAsiaTheme="minorEastAsia" w:cstheme="minorEastAsia"/>
                <w:kern w:val="0"/>
                <w:sz w:val="28"/>
                <w:szCs w:val="28"/>
              </w:rPr>
              <w:t>每年</w:t>
            </w:r>
            <w:r>
              <w:rPr>
                <w:rFonts w:hint="eastAsia" w:asciiTheme="minorEastAsia" w:hAnsiTheme="minorEastAsia" w:eastAsiaTheme="minorEastAsia" w:cstheme="minorEastAsia"/>
                <w:kern w:val="0"/>
                <w:sz w:val="28"/>
                <w:szCs w:val="28"/>
              </w:rPr>
              <w:t>开展</w:t>
            </w:r>
            <w:r>
              <w:rPr>
                <w:rFonts w:hint="eastAsia" w:asciiTheme="minorEastAsia" w:hAnsiTheme="minorEastAsia" w:eastAsiaTheme="minorEastAsia" w:cstheme="minorEastAsia"/>
                <w:kern w:val="0"/>
                <w:sz w:val="28"/>
                <w:szCs w:val="28"/>
              </w:rPr>
              <w:t>至少一次</w:t>
            </w:r>
            <w:r>
              <w:rPr>
                <w:rFonts w:hint="eastAsia" w:asciiTheme="minorEastAsia" w:hAnsiTheme="minorEastAsia" w:eastAsiaTheme="minorEastAsia" w:cstheme="minorEastAsia"/>
                <w:kern w:val="0"/>
                <w:sz w:val="28"/>
                <w:szCs w:val="28"/>
              </w:rPr>
              <w:t>免费检测、</w:t>
            </w:r>
            <w:r>
              <w:rPr>
                <w:rFonts w:hint="eastAsia" w:asciiTheme="minorEastAsia" w:hAnsiTheme="minorEastAsia" w:eastAsiaTheme="minorEastAsia" w:cstheme="minorEastAsia"/>
                <w:kern w:val="0"/>
                <w:sz w:val="28"/>
                <w:szCs w:val="28"/>
              </w:rPr>
              <w:t>校准，</w:t>
            </w:r>
            <w:r>
              <w:rPr>
                <w:rFonts w:hint="eastAsia" w:asciiTheme="minorEastAsia" w:hAnsiTheme="minorEastAsia" w:eastAsiaTheme="minorEastAsia" w:cstheme="minorEastAsia"/>
                <w:kern w:val="0"/>
                <w:sz w:val="28"/>
                <w:szCs w:val="28"/>
              </w:rPr>
              <w:t>并提供检测、校准报告（提供承诺函）。</w:t>
            </w:r>
          </w:p>
        </w:tc>
      </w:tr>
    </w:tbl>
    <w:p>
      <w:pPr>
        <w:jc w:val="left"/>
        <w:rPr>
          <w:rFonts w:hint="eastAsia" w:asciiTheme="minorEastAsia" w:hAnsiTheme="minorEastAsia" w:eastAsiaTheme="minorEastAsia" w:cstheme="minorEastAsia"/>
          <w:kern w:val="0"/>
          <w:sz w:val="28"/>
          <w:szCs w:val="28"/>
        </w:rPr>
      </w:pPr>
    </w:p>
    <w:sectPr>
      <w:pgSz w:w="11906" w:h="16838"/>
      <w:pgMar w:top="873" w:right="1009" w:bottom="1440"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0CE48"/>
    <w:multiLevelType w:val="singleLevel"/>
    <w:tmpl w:val="32B0CE4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1D"/>
    <w:rsid w:val="00251D29"/>
    <w:rsid w:val="0043011D"/>
    <w:rsid w:val="005321CB"/>
    <w:rsid w:val="00630902"/>
    <w:rsid w:val="00A90FE5"/>
    <w:rsid w:val="00B77F43"/>
    <w:rsid w:val="00D20864"/>
    <w:rsid w:val="02C9552E"/>
    <w:rsid w:val="02DF1BD7"/>
    <w:rsid w:val="0782010C"/>
    <w:rsid w:val="07F449B6"/>
    <w:rsid w:val="0C7077BF"/>
    <w:rsid w:val="10F119D8"/>
    <w:rsid w:val="14BC4FAA"/>
    <w:rsid w:val="15A27746"/>
    <w:rsid w:val="1FA00E83"/>
    <w:rsid w:val="21870907"/>
    <w:rsid w:val="234C2CEB"/>
    <w:rsid w:val="24502691"/>
    <w:rsid w:val="24BA5093"/>
    <w:rsid w:val="2616631F"/>
    <w:rsid w:val="28524128"/>
    <w:rsid w:val="29834BB5"/>
    <w:rsid w:val="29EF60E1"/>
    <w:rsid w:val="33033169"/>
    <w:rsid w:val="36CD513D"/>
    <w:rsid w:val="3E7A07D2"/>
    <w:rsid w:val="43BA69BE"/>
    <w:rsid w:val="457F0B03"/>
    <w:rsid w:val="49E10D7E"/>
    <w:rsid w:val="4EB50433"/>
    <w:rsid w:val="4EF23725"/>
    <w:rsid w:val="57B86FB7"/>
    <w:rsid w:val="58094510"/>
    <w:rsid w:val="5B531ABE"/>
    <w:rsid w:val="5BFD3D58"/>
    <w:rsid w:val="5F6A2150"/>
    <w:rsid w:val="624F6077"/>
    <w:rsid w:val="659207CA"/>
    <w:rsid w:val="67B130A2"/>
    <w:rsid w:val="694A1784"/>
    <w:rsid w:val="71C85779"/>
    <w:rsid w:val="71EDE612"/>
    <w:rsid w:val="72EB3141"/>
    <w:rsid w:val="747A29B1"/>
    <w:rsid w:val="75BC1C16"/>
    <w:rsid w:val="77A0579F"/>
    <w:rsid w:val="7949615A"/>
    <w:rsid w:val="79775EB8"/>
    <w:rsid w:val="799B7A7F"/>
    <w:rsid w:val="7AFD3278"/>
    <w:rsid w:val="7D697409"/>
    <w:rsid w:val="DC6D4318"/>
    <w:rsid w:val="DF2DC772"/>
    <w:rsid w:val="FDDF77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 w:type="character" w:customStyle="1" w:styleId="10">
    <w:name w:val="NormalCharact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277</Words>
  <Characters>1580</Characters>
  <Lines>13</Lines>
  <Paragraphs>3</Paragraphs>
  <TotalTime>3</TotalTime>
  <ScaleCrop>false</ScaleCrop>
  <LinksUpToDate>false</LinksUpToDate>
  <CharactersWithSpaces>1854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2021-11-15T08:23:00Z</dcterms:created>
  <dc:creator>Administrator</dc:creator>
  <cp:lastModifiedBy>四季</cp:lastModifiedBy>
  <dcterms:modified xsi:type="dcterms:W3CDTF">2021-11-30T09:16:39Z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AC9F34A9F1274B609A0AFB1AAE0CA5FC</vt:lpwstr>
  </property>
</Properties>
</file>