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ind w:firstLine="2891" w:firstLineChars="900"/>
        <w:jc w:val="both"/>
        <w:textAlignment w:val="baseline"/>
        <w:rPr>
          <w:rStyle w:val="6"/>
          <w:rFonts w:ascii="Calibri" w:hAnsi="Calibri" w:eastAsia="宋体"/>
          <w:b/>
          <w:i w:val="0"/>
          <w:caps w:val="0"/>
          <w:color w:val="000000"/>
          <w:spacing w:val="0"/>
          <w:w w:val="100"/>
          <w:kern w:val="2"/>
          <w:sz w:val="32"/>
          <w:szCs w:val="32"/>
          <w:lang w:val="en-US" w:eastAsia="zh-CN" w:bidi="ar-SA"/>
        </w:rPr>
      </w:pPr>
      <w:r>
        <w:rPr>
          <w:rStyle w:val="6"/>
          <w:rFonts w:ascii="Calibri" w:hAnsi="Calibri" w:eastAsia="宋体"/>
          <w:b/>
          <w:i w:val="0"/>
          <w:caps w:val="0"/>
          <w:color w:val="000000"/>
          <w:spacing w:val="0"/>
          <w:w w:val="100"/>
          <w:kern w:val="2"/>
          <w:sz w:val="32"/>
          <w:szCs w:val="32"/>
          <w:lang w:val="en-US" w:eastAsia="zh-CN" w:bidi="ar-SA"/>
        </w:rPr>
        <w:t>生物刺激反馈仪</w:t>
      </w:r>
      <w:r>
        <w:rPr>
          <w:rStyle w:val="6"/>
          <w:rFonts w:hint="eastAsia"/>
          <w:b/>
          <w:i w:val="0"/>
          <w:caps w:val="0"/>
          <w:color w:val="000000"/>
          <w:spacing w:val="0"/>
          <w:w w:val="100"/>
          <w:kern w:val="2"/>
          <w:sz w:val="32"/>
          <w:szCs w:val="32"/>
          <w:lang w:val="en-US" w:eastAsia="zh-CN" w:bidi="ar-SA"/>
        </w:rPr>
        <w:t>技术</w:t>
      </w:r>
      <w:r>
        <w:rPr>
          <w:rStyle w:val="6"/>
          <w:rFonts w:ascii="Calibri" w:hAnsi="Calibri" w:eastAsia="宋体"/>
          <w:b/>
          <w:i w:val="0"/>
          <w:caps w:val="0"/>
          <w:color w:val="000000"/>
          <w:spacing w:val="0"/>
          <w:w w:val="100"/>
          <w:kern w:val="2"/>
          <w:sz w:val="32"/>
          <w:szCs w:val="32"/>
          <w:lang w:val="en-US" w:eastAsia="zh-CN" w:bidi="ar-SA"/>
        </w:rPr>
        <w:t>参数</w:t>
      </w:r>
    </w:p>
    <w:p>
      <w:pPr>
        <w:snapToGrid/>
        <w:spacing w:before="0" w:beforeAutospacing="0" w:after="0" w:afterAutospacing="0" w:line="360" w:lineRule="auto"/>
        <w:jc w:val="both"/>
        <w:textAlignment w:val="baseline"/>
        <w:rPr>
          <w:rStyle w:val="6"/>
          <w:rFonts w:hint="default" w:ascii="Calibri" w:hAnsi="Calibri" w:eastAsia="宋体"/>
          <w:b/>
          <w:i w:val="0"/>
          <w:caps w:val="0"/>
          <w:color w:val="000000"/>
          <w:spacing w:val="0"/>
          <w:w w:val="100"/>
          <w:kern w:val="2"/>
          <w:sz w:val="32"/>
          <w:szCs w:val="32"/>
          <w:lang w:val="en-US" w:eastAsia="zh-CN" w:bidi="ar-SA"/>
        </w:rPr>
      </w:pPr>
      <w:r>
        <w:rPr>
          <w:rStyle w:val="6"/>
          <w:rFonts w:hint="eastAsia"/>
          <w:b/>
          <w:i w:val="0"/>
          <w:caps w:val="0"/>
          <w:color w:val="000000"/>
          <w:spacing w:val="0"/>
          <w:w w:val="100"/>
          <w:kern w:val="2"/>
          <w:sz w:val="32"/>
          <w:szCs w:val="32"/>
          <w:lang w:val="en-US" w:eastAsia="zh-CN" w:bidi="ar-SA"/>
        </w:rPr>
        <w:t>一、设备要求</w:t>
      </w:r>
    </w:p>
    <w:p>
      <w:pPr>
        <w:snapToGrid/>
        <w:spacing w:before="0" w:beforeAutospacing="0" w:after="0" w:afterAutospacing="0" w:line="360" w:lineRule="auto"/>
        <w:jc w:val="both"/>
        <w:textAlignment w:val="baseline"/>
        <w:rPr>
          <w:rStyle w:val="6"/>
          <w:rFonts w:ascii="Calibri" w:hAnsi="Calibri" w:eastAsia="宋体"/>
          <w:b/>
          <w:i w:val="0"/>
          <w:caps w:val="0"/>
          <w:color w:val="auto"/>
          <w:spacing w:val="0"/>
          <w:w w:val="100"/>
          <w:kern w:val="2"/>
          <w:sz w:val="32"/>
          <w:szCs w:val="32"/>
          <w:lang w:val="en-US" w:eastAsia="zh-CN" w:bidi="ar-SA"/>
        </w:rPr>
      </w:pPr>
      <w:r>
        <w:rPr>
          <w:rStyle w:val="6"/>
          <w:rFonts w:hint="eastAsia"/>
          <w:b/>
          <w:i w:val="0"/>
          <w:caps w:val="0"/>
          <w:color w:val="000000"/>
          <w:spacing w:val="0"/>
          <w:w w:val="100"/>
          <w:kern w:val="2"/>
          <w:sz w:val="32"/>
          <w:szCs w:val="32"/>
          <w:lang w:val="en-US" w:eastAsia="zh-CN" w:bidi="ar-SA"/>
        </w:rPr>
        <w:t>（一）</w:t>
      </w:r>
      <w:r>
        <w:rPr>
          <w:rStyle w:val="6"/>
          <w:rFonts w:ascii="Calibri" w:hAnsi="Calibri" w:eastAsia="宋体"/>
          <w:b/>
          <w:i w:val="0"/>
          <w:caps w:val="0"/>
          <w:color w:val="000000"/>
          <w:spacing w:val="0"/>
          <w:w w:val="100"/>
          <w:kern w:val="2"/>
          <w:sz w:val="32"/>
          <w:szCs w:val="32"/>
          <w:lang w:val="en-US" w:eastAsia="zh-CN" w:bidi="ar-SA"/>
        </w:rPr>
        <w:t>适用范围：</w:t>
      </w:r>
      <w:r>
        <w:rPr>
          <w:rStyle w:val="6"/>
          <w:rFonts w:ascii="Calibri" w:hAnsi="Calibri" w:eastAsia="宋体"/>
          <w:b w:val="0"/>
          <w:i w:val="0"/>
          <w:caps w:val="0"/>
          <w:color w:val="000000"/>
          <w:spacing w:val="0"/>
          <w:w w:val="100"/>
          <w:kern w:val="2"/>
          <w:sz w:val="32"/>
          <w:szCs w:val="32"/>
          <w:lang w:val="en-US" w:eastAsia="zh-CN" w:bidi="ar-SA"/>
        </w:rPr>
        <w:t>对患者的肛肠体表肌电信号进行采集、分析和反馈训练，对患者的肛肠体表肌肉施加电刺激来恢复患者的便秘，肛脱，肛周疼痛等肌肉功能障碍。</w:t>
      </w:r>
    </w:p>
    <w:p>
      <w:pPr>
        <w:numPr>
          <w:ilvl w:val="0"/>
          <w:numId w:val="0"/>
        </w:numPr>
        <w:tabs>
          <w:tab w:val="left" w:pos="630"/>
        </w:tabs>
        <w:snapToGrid/>
        <w:spacing w:before="0" w:beforeAutospacing="0" w:after="0" w:afterAutospacing="0" w:line="360" w:lineRule="auto"/>
        <w:ind w:leftChars="0"/>
        <w:jc w:val="both"/>
        <w:textAlignment w:val="baseline"/>
        <w:rPr>
          <w:rStyle w:val="6"/>
          <w:rFonts w:ascii="Calibri" w:hAnsi="Calibri" w:eastAsia="宋体"/>
          <w:b/>
          <w:i w:val="0"/>
          <w:caps w:val="0"/>
          <w:color w:val="auto"/>
          <w:spacing w:val="0"/>
          <w:w w:val="100"/>
          <w:kern w:val="2"/>
          <w:sz w:val="32"/>
          <w:szCs w:val="32"/>
          <w:lang w:val="en-US" w:eastAsia="zh-CN" w:bidi="ar-SA"/>
        </w:rPr>
      </w:pPr>
      <w:r>
        <w:rPr>
          <w:rStyle w:val="6"/>
          <w:rFonts w:hint="eastAsia"/>
          <w:b/>
          <w:i w:val="0"/>
          <w:caps w:val="0"/>
          <w:color w:val="auto"/>
          <w:spacing w:val="0"/>
          <w:w w:val="100"/>
          <w:kern w:val="2"/>
          <w:sz w:val="32"/>
          <w:szCs w:val="32"/>
          <w:lang w:val="en-US" w:eastAsia="zh-CN" w:bidi="ar-SA"/>
        </w:rPr>
        <w:t>（二）</w:t>
      </w:r>
      <w:r>
        <w:rPr>
          <w:rStyle w:val="6"/>
          <w:rFonts w:ascii="Calibri" w:hAnsi="Calibri" w:eastAsia="宋体"/>
          <w:b/>
          <w:i w:val="0"/>
          <w:caps w:val="0"/>
          <w:color w:val="auto"/>
          <w:spacing w:val="0"/>
          <w:w w:val="100"/>
          <w:kern w:val="2"/>
          <w:sz w:val="32"/>
          <w:szCs w:val="32"/>
          <w:lang w:val="en-US" w:eastAsia="zh-CN" w:bidi="ar-SA"/>
        </w:rPr>
        <w:t>硬件性能：</w:t>
      </w:r>
    </w:p>
    <w:p>
      <w:pPr>
        <w:numPr>
          <w:ilvl w:val="0"/>
          <w:numId w:val="1"/>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四通道主机，包含电刺激、表面肌电采集接口；</w:t>
      </w:r>
      <w:r>
        <w:rPr>
          <w:rStyle w:val="6"/>
          <w:rFonts w:hint="eastAsia"/>
          <w:b w:val="0"/>
          <w:i w:val="0"/>
          <w:caps w:val="0"/>
          <w:color w:val="auto"/>
          <w:spacing w:val="0"/>
          <w:w w:val="100"/>
          <w:kern w:val="2"/>
          <w:sz w:val="32"/>
          <w:szCs w:val="32"/>
          <w:lang w:val="en-US" w:eastAsia="zh-CN" w:bidi="ar-SA"/>
        </w:rPr>
        <w:t>以及</w:t>
      </w:r>
      <w:r>
        <w:rPr>
          <w:rStyle w:val="6"/>
          <w:rFonts w:ascii="Calibri" w:hAnsi="Calibri" w:eastAsia="宋体"/>
          <w:b w:val="0"/>
          <w:i w:val="0"/>
          <w:caps w:val="0"/>
          <w:color w:val="auto"/>
          <w:spacing w:val="0"/>
          <w:w w:val="100"/>
          <w:kern w:val="2"/>
          <w:sz w:val="32"/>
          <w:szCs w:val="32"/>
          <w:lang w:val="en-US" w:eastAsia="zh-CN" w:bidi="ar-SA"/>
        </w:rPr>
        <w:t>理疗电极片，直肠电极</w:t>
      </w:r>
      <w:r>
        <w:rPr>
          <w:rStyle w:val="6"/>
          <w:rFonts w:hint="eastAsia"/>
          <w:b w:val="0"/>
          <w:i w:val="0"/>
          <w:caps w:val="0"/>
          <w:color w:val="auto"/>
          <w:spacing w:val="0"/>
          <w:w w:val="100"/>
          <w:kern w:val="2"/>
          <w:sz w:val="32"/>
          <w:szCs w:val="32"/>
          <w:lang w:val="en-US" w:eastAsia="zh-CN" w:bidi="ar-SA"/>
        </w:rPr>
        <w:t>等</w:t>
      </w:r>
      <w:r>
        <w:rPr>
          <w:rStyle w:val="6"/>
          <w:rFonts w:ascii="Calibri" w:hAnsi="Calibri" w:eastAsia="宋体"/>
          <w:b w:val="0"/>
          <w:i w:val="0"/>
          <w:caps w:val="0"/>
          <w:color w:val="auto"/>
          <w:spacing w:val="0"/>
          <w:w w:val="100"/>
          <w:kern w:val="2"/>
          <w:sz w:val="32"/>
          <w:szCs w:val="32"/>
          <w:lang w:val="en-US" w:eastAsia="zh-CN" w:bidi="ar-SA"/>
        </w:rPr>
        <w:t>。</w:t>
      </w:r>
    </w:p>
    <w:p>
      <w:pPr>
        <w:numPr>
          <w:ilvl w:val="0"/>
          <w:numId w:val="1"/>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hint="eastAsia" w:ascii="宋体" w:hAnsi="宋体" w:eastAsia="宋体" w:cs="宋体"/>
          <w:b w:val="0"/>
          <w:i w:val="0"/>
          <w:caps w:val="0"/>
          <w:color w:val="auto"/>
          <w:spacing w:val="0"/>
          <w:w w:val="100"/>
          <w:kern w:val="2"/>
          <w:sz w:val="32"/>
          <w:szCs w:val="32"/>
          <w:lang w:val="en-US" w:eastAsia="zh-CN" w:bidi="ar-SA"/>
        </w:rPr>
        <w:t>★</w:t>
      </w:r>
      <w:r>
        <w:rPr>
          <w:rStyle w:val="6"/>
          <w:rFonts w:ascii="Calibri" w:hAnsi="Calibri" w:eastAsia="宋体"/>
          <w:b w:val="0"/>
          <w:i w:val="0"/>
          <w:caps w:val="0"/>
          <w:color w:val="auto"/>
          <w:spacing w:val="0"/>
          <w:w w:val="100"/>
          <w:kern w:val="2"/>
          <w:sz w:val="32"/>
          <w:szCs w:val="32"/>
          <w:lang w:val="en-US" w:eastAsia="zh-CN" w:bidi="ar-SA"/>
        </w:rPr>
        <w:t>双级联接口，同时级联</w:t>
      </w:r>
      <w:r>
        <w:rPr>
          <w:rFonts w:hint="eastAsia" w:ascii="宋体" w:hAnsi="宋体" w:eastAsia="宋体" w:cs="宋体"/>
          <w:color w:val="000000"/>
          <w:kern w:val="0"/>
          <w:sz w:val="32"/>
          <w:szCs w:val="32"/>
        </w:rPr>
        <w:t>≥</w:t>
      </w:r>
      <w:r>
        <w:rPr>
          <w:rStyle w:val="6"/>
          <w:rFonts w:ascii="Calibri" w:hAnsi="Calibri" w:eastAsia="宋体"/>
          <w:b w:val="0"/>
          <w:i w:val="0"/>
          <w:caps w:val="0"/>
          <w:color w:val="auto"/>
          <w:spacing w:val="0"/>
          <w:w w:val="100"/>
          <w:kern w:val="2"/>
          <w:sz w:val="32"/>
          <w:szCs w:val="32"/>
          <w:lang w:val="en-US" w:eastAsia="zh-CN" w:bidi="ar-SA"/>
        </w:rPr>
        <w:t>4台主机，扩展</w:t>
      </w:r>
      <w:r>
        <w:rPr>
          <w:rFonts w:hint="eastAsia" w:ascii="宋体" w:hAnsi="宋体" w:eastAsia="宋体" w:cs="宋体"/>
          <w:color w:val="000000"/>
          <w:kern w:val="0"/>
          <w:sz w:val="32"/>
          <w:szCs w:val="32"/>
        </w:rPr>
        <w:t>≥</w:t>
      </w:r>
      <w:r>
        <w:rPr>
          <w:rStyle w:val="6"/>
          <w:rFonts w:ascii="Calibri" w:hAnsi="Calibri" w:eastAsia="宋体"/>
          <w:b w:val="0"/>
          <w:i w:val="0"/>
          <w:caps w:val="0"/>
          <w:color w:val="auto"/>
          <w:spacing w:val="0"/>
          <w:w w:val="100"/>
          <w:kern w:val="2"/>
          <w:sz w:val="32"/>
          <w:szCs w:val="32"/>
          <w:lang w:val="en-US" w:eastAsia="zh-CN" w:bidi="ar-SA"/>
        </w:rPr>
        <w:t>16通道；且产品的结构及组成中含有级联线</w:t>
      </w:r>
      <w:r>
        <w:rPr>
          <w:rStyle w:val="6"/>
          <w:rFonts w:hint="eastAsia"/>
          <w:b w:val="0"/>
          <w:i w:val="0"/>
          <w:caps w:val="0"/>
          <w:color w:val="auto"/>
          <w:spacing w:val="0"/>
          <w:w w:val="100"/>
          <w:kern w:val="2"/>
          <w:sz w:val="32"/>
          <w:szCs w:val="32"/>
          <w:lang w:val="en-US" w:eastAsia="zh-CN" w:bidi="ar-SA"/>
        </w:rPr>
        <w:t>。</w:t>
      </w:r>
    </w:p>
    <w:p>
      <w:pPr>
        <w:numPr>
          <w:ilvl w:val="0"/>
          <w:numId w:val="1"/>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采样位数：16位</w:t>
      </w:r>
      <w:r>
        <w:rPr>
          <w:rStyle w:val="6"/>
          <w:rFonts w:hint="eastAsia"/>
          <w:b w:val="0"/>
          <w:i w:val="0"/>
          <w:caps w:val="0"/>
          <w:color w:val="auto"/>
          <w:spacing w:val="0"/>
          <w:w w:val="100"/>
          <w:kern w:val="2"/>
          <w:sz w:val="32"/>
          <w:szCs w:val="32"/>
          <w:lang w:val="en-US" w:eastAsia="zh-CN" w:bidi="ar-SA"/>
        </w:rPr>
        <w:t>。</w:t>
      </w:r>
    </w:p>
    <w:p>
      <w:pPr>
        <w:numPr>
          <w:ilvl w:val="0"/>
          <w:numId w:val="1"/>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测量范围：1μV～</w:t>
      </w:r>
      <w:r>
        <w:rPr>
          <w:rStyle w:val="6"/>
          <w:rFonts w:hint="eastAsia"/>
          <w:b w:val="0"/>
          <w:i w:val="0"/>
          <w:caps w:val="0"/>
          <w:color w:val="auto"/>
          <w:spacing w:val="0"/>
          <w:w w:val="100"/>
          <w:kern w:val="2"/>
          <w:sz w:val="32"/>
          <w:szCs w:val="32"/>
          <w:lang w:val="en-US" w:eastAsia="zh-CN" w:bidi="ar-SA"/>
        </w:rPr>
        <w:t>2</w:t>
      </w:r>
      <w:r>
        <w:rPr>
          <w:rStyle w:val="6"/>
          <w:rFonts w:ascii="Calibri" w:hAnsi="Calibri" w:eastAsia="宋体"/>
          <w:b w:val="0"/>
          <w:i w:val="0"/>
          <w:caps w:val="0"/>
          <w:color w:val="auto"/>
          <w:spacing w:val="0"/>
          <w:w w:val="100"/>
          <w:kern w:val="2"/>
          <w:sz w:val="32"/>
          <w:szCs w:val="32"/>
          <w:lang w:val="en-US" w:eastAsia="zh-CN" w:bidi="ar-SA"/>
        </w:rPr>
        <w:t>000μV(r.m.s)；输出电流：0～100 mA；脉冲宽度：50μs～500μs</w:t>
      </w:r>
      <w:r>
        <w:rPr>
          <w:rStyle w:val="6"/>
          <w:rFonts w:hint="eastAsia"/>
          <w:b w:val="0"/>
          <w:i w:val="0"/>
          <w:caps w:val="0"/>
          <w:color w:val="auto"/>
          <w:spacing w:val="0"/>
          <w:w w:val="100"/>
          <w:kern w:val="2"/>
          <w:sz w:val="32"/>
          <w:szCs w:val="32"/>
          <w:lang w:val="en-US" w:eastAsia="zh-CN" w:bidi="ar-SA"/>
        </w:rPr>
        <w:t>。</w:t>
      </w:r>
    </w:p>
    <w:p>
      <w:pPr>
        <w:numPr>
          <w:ilvl w:val="0"/>
          <w:numId w:val="1"/>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刺激频率：</w:t>
      </w:r>
      <w:r>
        <w:rPr>
          <w:rStyle w:val="6"/>
          <w:rFonts w:hint="eastAsia"/>
          <w:b w:val="0"/>
          <w:i w:val="0"/>
          <w:caps w:val="0"/>
          <w:color w:val="auto"/>
          <w:spacing w:val="0"/>
          <w:w w:val="100"/>
          <w:kern w:val="2"/>
          <w:sz w:val="32"/>
          <w:szCs w:val="32"/>
          <w:lang w:val="en-US" w:eastAsia="zh-CN" w:bidi="ar-SA"/>
        </w:rPr>
        <w:t>2</w:t>
      </w:r>
      <w:r>
        <w:rPr>
          <w:rStyle w:val="6"/>
          <w:rFonts w:ascii="Calibri" w:hAnsi="Calibri" w:eastAsia="宋体"/>
          <w:b w:val="0"/>
          <w:i w:val="0"/>
          <w:caps w:val="0"/>
          <w:color w:val="auto"/>
          <w:spacing w:val="0"/>
          <w:w w:val="100"/>
          <w:kern w:val="2"/>
          <w:sz w:val="32"/>
          <w:szCs w:val="32"/>
          <w:lang w:val="en-US" w:eastAsia="zh-CN" w:bidi="ar-SA"/>
        </w:rPr>
        <w:t>Hz～150Hz，最小可调节步长1Hz；刺激/休息时间：1s～</w:t>
      </w:r>
      <w:r>
        <w:rPr>
          <w:rStyle w:val="6"/>
          <w:rFonts w:hint="eastAsia"/>
          <w:b w:val="0"/>
          <w:i w:val="0"/>
          <w:caps w:val="0"/>
          <w:color w:val="auto"/>
          <w:spacing w:val="0"/>
          <w:w w:val="100"/>
          <w:kern w:val="2"/>
          <w:sz w:val="32"/>
          <w:szCs w:val="32"/>
          <w:lang w:val="en-US" w:eastAsia="zh-CN" w:bidi="ar-SA"/>
        </w:rPr>
        <w:t>20</w:t>
      </w:r>
      <w:r>
        <w:rPr>
          <w:rStyle w:val="6"/>
          <w:rFonts w:ascii="Calibri" w:hAnsi="Calibri" w:eastAsia="宋体"/>
          <w:b w:val="0"/>
          <w:i w:val="0"/>
          <w:caps w:val="0"/>
          <w:color w:val="auto"/>
          <w:spacing w:val="0"/>
          <w:w w:val="100"/>
          <w:kern w:val="2"/>
          <w:sz w:val="32"/>
          <w:szCs w:val="32"/>
          <w:lang w:val="en-US" w:eastAsia="zh-CN" w:bidi="ar-SA"/>
        </w:rPr>
        <w:t>s可调，最小可调节步长1s</w:t>
      </w:r>
      <w:r>
        <w:rPr>
          <w:rStyle w:val="6"/>
          <w:rFonts w:hint="eastAsia"/>
          <w:b w:val="0"/>
          <w:i w:val="0"/>
          <w:caps w:val="0"/>
          <w:color w:val="auto"/>
          <w:spacing w:val="0"/>
          <w:w w:val="100"/>
          <w:kern w:val="2"/>
          <w:sz w:val="32"/>
          <w:szCs w:val="32"/>
          <w:lang w:val="en-US" w:eastAsia="zh-CN" w:bidi="ar-SA"/>
        </w:rPr>
        <w:t>。</w:t>
      </w:r>
    </w:p>
    <w:p>
      <w:pPr>
        <w:numPr>
          <w:ilvl w:val="0"/>
          <w:numId w:val="1"/>
        </w:numPr>
        <w:spacing w:line="360" w:lineRule="auto"/>
        <w:ind w:left="425" w:leftChars="0" w:hanging="425" w:firstLineChars="0"/>
        <w:jc w:val="left"/>
        <w:rPr>
          <w:rFonts w:asciiTheme="minorEastAsia" w:hAnsiTheme="minorEastAsia"/>
          <w:color w:val="auto"/>
          <w:sz w:val="32"/>
          <w:szCs w:val="32"/>
          <w:highlight w:val="none"/>
        </w:rPr>
      </w:pPr>
      <w:r>
        <w:rPr>
          <w:rFonts w:hint="eastAsia" w:ascii="宋体" w:hAnsi="宋体" w:eastAsia="宋体" w:cs="宋体"/>
          <w:b w:val="0"/>
          <w:bCs/>
          <w:color w:val="auto"/>
          <w:sz w:val="32"/>
          <w:szCs w:val="32"/>
          <w:highlight w:val="none"/>
          <w:lang w:val="en-US" w:eastAsia="zh-CN"/>
        </w:rPr>
        <w:t>标</w:t>
      </w:r>
      <w:r>
        <w:rPr>
          <w:rFonts w:hint="eastAsia" w:asciiTheme="minorEastAsia" w:hAnsiTheme="minorEastAsia"/>
          <w:color w:val="auto"/>
          <w:sz w:val="32"/>
          <w:szCs w:val="32"/>
          <w:highlight w:val="none"/>
        </w:rPr>
        <w:t>配有压力气囊，</w:t>
      </w:r>
      <w:r>
        <w:rPr>
          <w:rFonts w:hint="eastAsia" w:asciiTheme="minorEastAsia" w:hAnsiTheme="minorEastAsia"/>
          <w:color w:val="auto"/>
          <w:sz w:val="32"/>
          <w:szCs w:val="32"/>
          <w:highlight w:val="none"/>
          <w:lang w:val="en-US" w:eastAsia="zh-CN"/>
        </w:rPr>
        <w:t>主机内置气泵和压力传感器，基础气压≥50</w:t>
      </w:r>
      <w:r>
        <w:rPr>
          <w:rFonts w:hint="eastAsia" w:asciiTheme="minorEastAsia" w:hAnsiTheme="minorEastAsia"/>
          <w:color w:val="auto"/>
          <w:sz w:val="32"/>
          <w:szCs w:val="32"/>
          <w:highlight w:val="none"/>
        </w:rPr>
        <w:t>mmHg</w:t>
      </w:r>
      <w:r>
        <w:rPr>
          <w:rFonts w:hint="eastAsia" w:asciiTheme="minorEastAsia" w:hAnsiTheme="minorEastAsia"/>
          <w:color w:val="auto"/>
          <w:sz w:val="32"/>
          <w:szCs w:val="32"/>
          <w:highlight w:val="none"/>
          <w:lang w:eastAsia="zh-CN"/>
        </w:rPr>
        <w:t>，</w:t>
      </w:r>
      <w:r>
        <w:rPr>
          <w:rFonts w:hint="eastAsia" w:asciiTheme="minorEastAsia" w:hAnsiTheme="minorEastAsia"/>
          <w:color w:val="auto"/>
          <w:sz w:val="32"/>
          <w:szCs w:val="32"/>
          <w:highlight w:val="none"/>
        </w:rPr>
        <w:t>压力测量范围 10-105mmHg</w:t>
      </w:r>
      <w:r>
        <w:rPr>
          <w:rFonts w:hint="eastAsia" w:asciiTheme="minorEastAsia" w:hAnsiTheme="minorEastAsia"/>
          <w:color w:val="auto"/>
          <w:sz w:val="32"/>
          <w:szCs w:val="32"/>
          <w:highlight w:val="none"/>
          <w:lang w:eastAsia="zh-CN"/>
        </w:rPr>
        <w:t>，</w:t>
      </w:r>
      <w:r>
        <w:rPr>
          <w:rFonts w:hint="eastAsia" w:asciiTheme="minorEastAsia" w:hAnsiTheme="minorEastAsia"/>
          <w:color w:val="auto"/>
          <w:sz w:val="32"/>
          <w:szCs w:val="32"/>
          <w:highlight w:val="none"/>
          <w:lang w:val="en-US" w:eastAsia="zh-CN"/>
        </w:rPr>
        <w:t>测量分辨率≤1mmHg</w:t>
      </w:r>
      <w:r>
        <w:rPr>
          <w:rFonts w:hint="eastAsia" w:asciiTheme="minorEastAsia" w:hAnsiTheme="minorEastAsia"/>
          <w:color w:val="auto"/>
          <w:sz w:val="32"/>
          <w:szCs w:val="32"/>
          <w:highlight w:val="none"/>
        </w:rPr>
        <w:t>。</w:t>
      </w:r>
    </w:p>
    <w:p>
      <w:pPr>
        <w:numPr>
          <w:ilvl w:val="0"/>
          <w:numId w:val="1"/>
        </w:numPr>
        <w:spacing w:line="360" w:lineRule="auto"/>
        <w:ind w:left="425" w:leftChars="0" w:hanging="425" w:firstLineChars="0"/>
        <w:jc w:val="left"/>
        <w:rPr>
          <w:rFonts w:asciiTheme="minorEastAsia" w:hAnsiTheme="minorEastAsia"/>
          <w:color w:val="auto"/>
          <w:sz w:val="32"/>
          <w:szCs w:val="32"/>
          <w:highlight w:val="none"/>
        </w:rPr>
      </w:pPr>
      <w:r>
        <w:rPr>
          <w:rStyle w:val="6"/>
          <w:rFonts w:hint="eastAsia" w:ascii="宋体" w:hAnsi="宋体" w:eastAsia="宋体" w:cs="宋体"/>
          <w:b w:val="0"/>
          <w:i w:val="0"/>
          <w:caps w:val="0"/>
          <w:color w:val="auto"/>
          <w:spacing w:val="0"/>
          <w:w w:val="100"/>
          <w:kern w:val="2"/>
          <w:sz w:val="32"/>
          <w:szCs w:val="32"/>
          <w:lang w:val="en-US" w:eastAsia="zh-CN" w:bidi="ar-SA"/>
        </w:rPr>
        <w:t>★</w:t>
      </w:r>
      <w:r>
        <w:rPr>
          <w:rFonts w:hint="eastAsia" w:ascii="宋体" w:hAnsi="宋体"/>
          <w:color w:val="auto"/>
          <w:sz w:val="32"/>
          <w:szCs w:val="32"/>
          <w:highlight w:val="none"/>
          <w:lang w:val="en-US" w:eastAsia="zh-CN"/>
        </w:rPr>
        <w:t>具有线控功能，可通过手动线控开关和脚踏开关分别实现电流强度的调节和电刺激输出的关闭。</w:t>
      </w:r>
    </w:p>
    <w:p>
      <w:pPr>
        <w:numPr>
          <w:ilvl w:val="0"/>
          <w:numId w:val="1"/>
        </w:numPr>
        <w:spacing w:line="360" w:lineRule="auto"/>
        <w:ind w:left="425" w:leftChars="0" w:hanging="425" w:firstLineChars="0"/>
        <w:jc w:val="left"/>
        <w:rPr>
          <w:rFonts w:asciiTheme="minorEastAsia" w:hAnsiTheme="minorEastAsia"/>
          <w:color w:val="auto"/>
          <w:sz w:val="32"/>
          <w:szCs w:val="32"/>
          <w:highlight w:val="none"/>
        </w:rPr>
      </w:pPr>
      <w:r>
        <w:rPr>
          <w:rStyle w:val="6"/>
          <w:rFonts w:hint="eastAsia" w:ascii="宋体" w:hAnsi="宋体" w:eastAsia="宋体" w:cs="宋体"/>
          <w:b w:val="0"/>
          <w:i w:val="0"/>
          <w:caps w:val="0"/>
          <w:color w:val="auto"/>
          <w:spacing w:val="0"/>
          <w:w w:val="100"/>
          <w:kern w:val="2"/>
          <w:sz w:val="32"/>
          <w:szCs w:val="32"/>
          <w:lang w:val="en-US" w:eastAsia="zh-CN" w:bidi="ar-SA"/>
        </w:rPr>
        <w:t>★</w:t>
      </w:r>
      <w:r>
        <w:rPr>
          <w:rFonts w:hint="eastAsia" w:ascii="宋体" w:hAnsi="宋体"/>
          <w:color w:val="auto"/>
          <w:sz w:val="32"/>
          <w:szCs w:val="32"/>
          <w:highlight w:val="none"/>
          <w:lang w:val="en-US" w:eastAsia="zh-CN"/>
        </w:rPr>
        <w:t>可配置脚踏开关，脚踏开关的启动力范围≥10-50N。</w:t>
      </w:r>
    </w:p>
    <w:p>
      <w:pPr>
        <w:numPr>
          <w:ilvl w:val="0"/>
          <w:numId w:val="1"/>
        </w:numPr>
        <w:spacing w:line="360" w:lineRule="auto"/>
        <w:ind w:left="425" w:leftChars="0" w:hanging="425" w:firstLineChars="0"/>
        <w:jc w:val="left"/>
        <w:rPr>
          <w:rFonts w:asciiTheme="minorEastAsia" w:hAnsiTheme="minorEastAsia"/>
          <w:color w:val="auto"/>
          <w:sz w:val="32"/>
          <w:szCs w:val="32"/>
          <w:highlight w:val="none"/>
        </w:rPr>
      </w:pPr>
      <w:r>
        <w:rPr>
          <w:rFonts w:hint="eastAsia" w:asciiTheme="minorEastAsia" w:hAnsiTheme="minorEastAsia"/>
          <w:color w:val="auto"/>
          <w:sz w:val="32"/>
          <w:szCs w:val="32"/>
          <w:highlight w:val="none"/>
          <w:lang w:val="en-US" w:eastAsia="zh-CN"/>
        </w:rPr>
        <w:t>具有联网功能模块，支持护士工作站、医生工作站、同类设备以及服务器联网。</w:t>
      </w:r>
      <w:r>
        <w:rPr>
          <w:rFonts w:hint="eastAsia" w:asciiTheme="minorEastAsia" w:hAnsiTheme="minorEastAsia"/>
          <w:color w:val="auto"/>
          <w:sz w:val="32"/>
          <w:szCs w:val="32"/>
          <w:highlight w:val="none"/>
        </w:rPr>
        <w:t xml:space="preserve"> </w:t>
      </w:r>
    </w:p>
    <w:p>
      <w:pPr>
        <w:numPr>
          <w:ilvl w:val="0"/>
          <w:numId w:val="1"/>
        </w:numPr>
        <w:spacing w:line="360" w:lineRule="auto"/>
        <w:ind w:left="425" w:leftChars="0" w:hanging="425" w:firstLineChars="0"/>
        <w:jc w:val="left"/>
        <w:rPr>
          <w:rStyle w:val="6"/>
          <w:rFonts w:ascii="Calibri" w:hAnsi="Calibri" w:eastAsia="宋体"/>
          <w:b w:val="0"/>
          <w:i w:val="0"/>
          <w:caps w:val="0"/>
          <w:color w:val="auto"/>
          <w:spacing w:val="0"/>
          <w:w w:val="100"/>
          <w:kern w:val="2"/>
          <w:sz w:val="32"/>
          <w:szCs w:val="32"/>
          <w:lang w:val="en-US" w:eastAsia="zh-CN" w:bidi="ar-SA"/>
        </w:rPr>
      </w:pPr>
      <w:r>
        <w:rPr>
          <w:rFonts w:hint="eastAsia" w:asciiTheme="minorEastAsia" w:hAnsiTheme="minorEastAsia"/>
          <w:color w:val="auto"/>
          <w:sz w:val="32"/>
          <w:szCs w:val="32"/>
          <w:highlight w:val="none"/>
          <w:lang w:val="en-US" w:eastAsia="zh-CN"/>
        </w:rPr>
        <w:t xml:space="preserve"> 一体化设计，刺激反馈主机内置于工作站推车机箱内。</w:t>
      </w:r>
    </w:p>
    <w:p>
      <w:pPr>
        <w:numPr>
          <w:ilvl w:val="0"/>
          <w:numId w:val="0"/>
        </w:numPr>
        <w:tabs>
          <w:tab w:val="left" w:pos="630"/>
        </w:tabs>
        <w:snapToGrid/>
        <w:spacing w:before="0" w:beforeAutospacing="0" w:after="0" w:afterAutospacing="0" w:line="360" w:lineRule="auto"/>
        <w:ind w:leftChars="0"/>
        <w:jc w:val="both"/>
        <w:textAlignment w:val="baseline"/>
        <w:rPr>
          <w:rStyle w:val="6"/>
          <w:rFonts w:ascii="Calibri" w:hAnsi="Calibri" w:eastAsia="宋体"/>
          <w:b/>
          <w:i w:val="0"/>
          <w:caps w:val="0"/>
          <w:color w:val="auto"/>
          <w:spacing w:val="0"/>
          <w:w w:val="100"/>
          <w:kern w:val="2"/>
          <w:sz w:val="32"/>
          <w:szCs w:val="32"/>
          <w:lang w:val="en-US" w:eastAsia="zh-CN" w:bidi="ar-SA"/>
        </w:rPr>
      </w:pPr>
      <w:r>
        <w:rPr>
          <w:rStyle w:val="6"/>
          <w:rFonts w:hint="eastAsia"/>
          <w:b/>
          <w:i w:val="0"/>
          <w:caps w:val="0"/>
          <w:color w:val="auto"/>
          <w:spacing w:val="0"/>
          <w:w w:val="100"/>
          <w:kern w:val="2"/>
          <w:sz w:val="32"/>
          <w:szCs w:val="32"/>
          <w:lang w:val="en-US" w:eastAsia="zh-CN" w:bidi="ar-SA"/>
        </w:rPr>
        <w:t>（三）</w:t>
      </w:r>
      <w:r>
        <w:rPr>
          <w:rStyle w:val="6"/>
          <w:rFonts w:ascii="Calibri" w:hAnsi="Calibri" w:eastAsia="宋体"/>
          <w:b/>
          <w:i w:val="0"/>
          <w:caps w:val="0"/>
          <w:color w:val="auto"/>
          <w:spacing w:val="0"/>
          <w:w w:val="100"/>
          <w:kern w:val="2"/>
          <w:sz w:val="32"/>
          <w:szCs w:val="32"/>
          <w:lang w:val="en-US" w:eastAsia="zh-CN" w:bidi="ar-SA"/>
        </w:rPr>
        <w:t>软件功能</w:t>
      </w:r>
    </w:p>
    <w:p>
      <w:pPr>
        <w:numPr>
          <w:ilvl w:val="0"/>
          <w:numId w:val="2"/>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多种肛肠版肌电评估模式：一分钟评估，三分钟评估和具有国际通用标准的Glazer评估</w:t>
      </w:r>
      <w:r>
        <w:rPr>
          <w:rStyle w:val="6"/>
          <w:rFonts w:hint="eastAsia"/>
          <w:b w:val="0"/>
          <w:i w:val="0"/>
          <w:caps w:val="0"/>
          <w:color w:val="auto"/>
          <w:spacing w:val="0"/>
          <w:w w:val="100"/>
          <w:kern w:val="2"/>
          <w:sz w:val="32"/>
          <w:szCs w:val="32"/>
          <w:lang w:val="en-US" w:eastAsia="zh-CN" w:bidi="ar-SA"/>
        </w:rPr>
        <w:t>等。</w:t>
      </w:r>
    </w:p>
    <w:p>
      <w:pPr>
        <w:numPr>
          <w:ilvl w:val="0"/>
          <w:numId w:val="2"/>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Glazer评估具有基于大数据建立的盆底常模类型，可智能解读评估报告</w:t>
      </w:r>
      <w:r>
        <w:rPr>
          <w:rStyle w:val="6"/>
          <w:rFonts w:hint="eastAsia"/>
          <w:b w:val="0"/>
          <w:i w:val="0"/>
          <w:caps w:val="0"/>
          <w:color w:val="auto"/>
          <w:spacing w:val="0"/>
          <w:w w:val="100"/>
          <w:kern w:val="2"/>
          <w:sz w:val="32"/>
          <w:szCs w:val="32"/>
          <w:lang w:val="en-US" w:eastAsia="zh-CN" w:bidi="ar-SA"/>
        </w:rPr>
        <w:t>不少于</w:t>
      </w:r>
      <w:r>
        <w:rPr>
          <w:rStyle w:val="6"/>
          <w:rFonts w:ascii="Calibri" w:hAnsi="Calibri" w:eastAsia="宋体"/>
          <w:b w:val="0"/>
          <w:i w:val="0"/>
          <w:caps w:val="0"/>
          <w:color w:val="auto"/>
          <w:spacing w:val="0"/>
          <w:w w:val="100"/>
          <w:kern w:val="2"/>
          <w:sz w:val="32"/>
          <w:szCs w:val="32"/>
          <w:lang w:val="en-US" w:eastAsia="zh-CN" w:bidi="ar-SA"/>
        </w:rPr>
        <w:t>五种评估结果；结合临床路径管理规范，以Glazer评估的结果和盆底专科病历信息的患者症状为依据，智能推荐个性化的处方治疗方案，一键开启治疗</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hint="eastAsia" w:ascii="宋体" w:hAnsi="宋体" w:eastAsia="宋体" w:cs="宋体"/>
          <w:b w:val="0"/>
          <w:i w:val="0"/>
          <w:caps w:val="0"/>
          <w:color w:val="auto"/>
          <w:spacing w:val="0"/>
          <w:w w:val="100"/>
          <w:kern w:val="2"/>
          <w:sz w:val="32"/>
          <w:szCs w:val="32"/>
          <w:lang w:val="en-US" w:eastAsia="zh-CN" w:bidi="ar-SA"/>
        </w:rPr>
        <w:t>★</w:t>
      </w:r>
      <w:r>
        <w:rPr>
          <w:rStyle w:val="6"/>
          <w:rFonts w:ascii="Calibri" w:hAnsi="Calibri" w:eastAsia="宋体"/>
          <w:b w:val="0"/>
          <w:i w:val="0"/>
          <w:caps w:val="0"/>
          <w:color w:val="auto"/>
          <w:spacing w:val="0"/>
          <w:w w:val="100"/>
          <w:kern w:val="2"/>
          <w:sz w:val="32"/>
          <w:szCs w:val="32"/>
          <w:lang w:val="en-US" w:eastAsia="zh-CN" w:bidi="ar-SA"/>
        </w:rPr>
        <w:t>情景评估模式：采用蓝牙无线传输，可实现实际生活情景下如腹压增加时的肛肠肌电功能评估</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5" w:hanging="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神经肌肉电刺激、肌电触发电刺激，重建中枢对盆底肌肉的控制，具有对后</w:t>
      </w:r>
      <w:r>
        <w:rPr>
          <w:rStyle w:val="6"/>
          <w:rFonts w:ascii="宋体" w:hAnsi="宋体" w:eastAsia="宋体"/>
          <w:b w:val="0"/>
          <w:i w:val="0"/>
          <w:caps w:val="0"/>
          <w:color w:val="auto"/>
          <w:spacing w:val="0"/>
          <w:w w:val="100"/>
          <w:kern w:val="2"/>
          <w:sz w:val="32"/>
          <w:szCs w:val="32"/>
          <w:lang w:val="en-US" w:eastAsia="zh-CN" w:bidi="ar-SA"/>
        </w:rPr>
        <w:t>盆腔功能辅助治疗；</w:t>
      </w:r>
      <w:r>
        <w:rPr>
          <w:rStyle w:val="6"/>
          <w:rFonts w:hint="eastAsia" w:ascii="宋体" w:hAnsi="宋体"/>
          <w:b w:val="0"/>
          <w:bCs w:val="0"/>
          <w:i w:val="0"/>
          <w:caps w:val="0"/>
          <w:color w:val="auto"/>
          <w:spacing w:val="0"/>
          <w:w w:val="100"/>
          <w:kern w:val="2"/>
          <w:sz w:val="32"/>
          <w:szCs w:val="32"/>
          <w:lang w:val="en-US" w:eastAsia="zh-CN" w:bidi="ar-SA"/>
        </w:rPr>
        <w:t>对各类</w:t>
      </w:r>
      <w:r>
        <w:rPr>
          <w:rStyle w:val="6"/>
          <w:rFonts w:ascii="宋体" w:hAnsi="宋体" w:eastAsia="宋体"/>
          <w:b w:val="0"/>
          <w:bCs w:val="0"/>
          <w:i w:val="0"/>
          <w:caps w:val="0"/>
          <w:color w:val="auto"/>
          <w:spacing w:val="0"/>
          <w:w w:val="100"/>
          <w:kern w:val="2"/>
          <w:sz w:val="32"/>
          <w:szCs w:val="32"/>
          <w:lang w:val="en-US" w:eastAsia="zh-CN" w:bidi="ar-SA"/>
        </w:rPr>
        <w:t>肛肠术后综合征等盆底功能障碍性疾病问题</w:t>
      </w:r>
      <w:r>
        <w:rPr>
          <w:rStyle w:val="6"/>
          <w:rFonts w:ascii="Calibri" w:hAnsi="Calibri" w:eastAsia="宋体"/>
          <w:b w:val="0"/>
          <w:i w:val="0"/>
          <w:caps w:val="0"/>
          <w:color w:val="auto"/>
          <w:spacing w:val="0"/>
          <w:w w:val="100"/>
          <w:kern w:val="2"/>
          <w:sz w:val="32"/>
          <w:szCs w:val="32"/>
          <w:lang w:val="en-US" w:eastAsia="zh-CN" w:bidi="ar-SA"/>
        </w:rPr>
        <w:t>等专业治疗方案</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5" w:hanging="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经皮神经电刺激具有连续刺激模式、调频调幅刺激模式，可实现急性和慢性疼痛的缓解</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0" w:firstLine="0"/>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数据统计分析功能：可汇总导出患者的诊疗记录，可分析统计医生工作量、患者治疗数据以及耗材使用情况</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0" w:firstLine="0"/>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具有软件自定义编辑开发功能：可自定义动画、自行更换音乐、自行设计治疗模板</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内置微云，可实现多种以及同类多台设备上患者基本信息、诊疗记录和方案参数的实时同步</w:t>
      </w:r>
      <w:r>
        <w:rPr>
          <w:rStyle w:val="6"/>
          <w:rFonts w:hint="eastAsia"/>
          <w:b w:val="0"/>
          <w:i w:val="0"/>
          <w:caps w:val="0"/>
          <w:color w:val="auto"/>
          <w:spacing w:val="0"/>
          <w:w w:val="100"/>
          <w:kern w:val="2"/>
          <w:sz w:val="32"/>
          <w:szCs w:val="32"/>
          <w:lang w:val="en-US" w:eastAsia="zh-CN" w:bidi="ar-SA"/>
        </w:rPr>
        <w:t>。</w:t>
      </w:r>
    </w:p>
    <w:p>
      <w:pPr>
        <w:numPr>
          <w:ilvl w:val="0"/>
          <w:numId w:val="2"/>
        </w:numPr>
        <w:snapToGrid/>
        <w:spacing w:before="0" w:beforeAutospacing="0" w:after="0" w:afterAutospacing="0" w:line="360" w:lineRule="auto"/>
        <w:ind w:left="425" w:hanging="425"/>
        <w:jc w:val="both"/>
        <w:textAlignment w:val="baseline"/>
        <w:rPr>
          <w:rStyle w:val="6"/>
          <w:rFonts w:ascii="Calibri" w:hAnsi="Calibri" w:eastAsia="宋体"/>
          <w:b w:val="0"/>
          <w:i w:val="0"/>
          <w:caps w:val="0"/>
          <w:color w:val="auto"/>
          <w:spacing w:val="0"/>
          <w:w w:val="100"/>
          <w:kern w:val="2"/>
          <w:sz w:val="32"/>
          <w:szCs w:val="32"/>
          <w:lang w:val="en-US" w:eastAsia="zh-CN" w:bidi="ar-SA"/>
        </w:rPr>
      </w:pPr>
      <w:r>
        <w:rPr>
          <w:rStyle w:val="6"/>
          <w:rFonts w:ascii="Calibri" w:hAnsi="Calibri" w:eastAsia="宋体"/>
          <w:b w:val="0"/>
          <w:i w:val="0"/>
          <w:caps w:val="0"/>
          <w:color w:val="auto"/>
          <w:spacing w:val="0"/>
          <w:w w:val="100"/>
          <w:kern w:val="2"/>
          <w:sz w:val="32"/>
          <w:szCs w:val="32"/>
          <w:lang w:val="en-US" w:eastAsia="zh-CN" w:bidi="ar-SA"/>
        </w:rPr>
        <w:t>支持肛肠专科信息系统，可实现后盆底肛肠专科中心数据共享、规范诊疗的电子病历系统、预约及患者排班、科室患者及工作量的统计与分析功能等；提供微信平台的线上培训课程体系，专业的医学团队进行线上培训。</w:t>
      </w:r>
    </w:p>
    <w:p>
      <w:pPr>
        <w:numPr>
          <w:ilvl w:val="0"/>
          <w:numId w:val="2"/>
        </w:numPr>
        <w:spacing w:line="360" w:lineRule="auto"/>
        <w:ind w:left="425" w:leftChars="0" w:hanging="425" w:firstLineChars="0"/>
        <w:jc w:val="left"/>
        <w:rPr>
          <w:rFonts w:ascii="宋体" w:hAnsi="宋体"/>
          <w:color w:val="auto"/>
          <w:sz w:val="32"/>
          <w:szCs w:val="32"/>
        </w:rPr>
      </w:pPr>
      <w:r>
        <w:rPr>
          <w:rFonts w:hint="eastAsia" w:ascii="宋体" w:hAnsi="宋体"/>
          <w:color w:val="auto"/>
          <w:sz w:val="32"/>
          <w:szCs w:val="32"/>
        </w:rPr>
        <w:t>评估报告具有盆底肌</w:t>
      </w:r>
      <w:r>
        <w:rPr>
          <w:rFonts w:hint="eastAsia" w:ascii="宋体" w:hAnsi="宋体"/>
          <w:color w:val="auto"/>
          <w:sz w:val="32"/>
          <w:szCs w:val="32"/>
          <w:lang w:eastAsia="zh-CN"/>
        </w:rPr>
        <w:t>、</w:t>
      </w:r>
      <w:r>
        <w:rPr>
          <w:rFonts w:hint="eastAsia" w:ascii="宋体" w:hAnsi="宋体"/>
          <w:color w:val="auto"/>
          <w:sz w:val="32"/>
          <w:szCs w:val="32"/>
        </w:rPr>
        <w:t>腹肌、臀肌及内收肌</w:t>
      </w:r>
      <w:r>
        <w:rPr>
          <w:rFonts w:hint="eastAsia" w:ascii="宋体" w:hAnsi="宋体"/>
          <w:color w:val="auto"/>
          <w:sz w:val="32"/>
          <w:szCs w:val="32"/>
          <w:lang w:val="en-US" w:eastAsia="zh-CN"/>
        </w:rPr>
        <w:t>的</w:t>
      </w:r>
      <w:r>
        <w:rPr>
          <w:rFonts w:hint="eastAsia" w:ascii="宋体" w:hAnsi="宋体"/>
          <w:color w:val="auto"/>
          <w:sz w:val="32"/>
          <w:szCs w:val="32"/>
        </w:rPr>
        <w:t>肌电图，且支持同时显示反映腹肌、臀肌及内收肌异常收缩的指标</w:t>
      </w:r>
      <w:r>
        <w:rPr>
          <w:rFonts w:hint="eastAsia" w:ascii="宋体" w:hAnsi="宋体"/>
          <w:color w:val="auto"/>
          <w:sz w:val="32"/>
          <w:szCs w:val="32"/>
          <w:lang w:eastAsia="zh-CN"/>
        </w:rPr>
        <w:t>，</w:t>
      </w:r>
      <w:r>
        <w:rPr>
          <w:rFonts w:hint="eastAsia" w:asciiTheme="minorEastAsia" w:hAnsiTheme="minorEastAsia"/>
          <w:color w:val="auto"/>
          <w:sz w:val="32"/>
          <w:szCs w:val="32"/>
          <w:lang w:val="en-US" w:eastAsia="zh-CN"/>
        </w:rPr>
        <w:t>并可自定义报告简要说明和治疗建议，支持个性化自动解读评估报告</w:t>
      </w:r>
      <w:r>
        <w:rPr>
          <w:rFonts w:hint="eastAsia" w:ascii="宋体" w:hAnsi="宋体"/>
          <w:color w:val="auto"/>
          <w:sz w:val="32"/>
          <w:szCs w:val="32"/>
        </w:rPr>
        <w:t>。</w:t>
      </w:r>
    </w:p>
    <w:p>
      <w:pPr>
        <w:numPr>
          <w:ilvl w:val="0"/>
          <w:numId w:val="2"/>
        </w:numPr>
        <w:spacing w:line="360" w:lineRule="auto"/>
        <w:ind w:left="425" w:leftChars="0" w:hanging="425" w:firstLineChars="0"/>
        <w:jc w:val="left"/>
        <w:rPr>
          <w:rFonts w:ascii="宋体" w:hAnsi="宋体"/>
          <w:sz w:val="32"/>
          <w:szCs w:val="32"/>
        </w:rPr>
      </w:pPr>
      <w:r>
        <w:rPr>
          <w:rFonts w:hint="eastAsia" w:asciiTheme="minorEastAsia" w:hAnsiTheme="minorEastAsia"/>
          <w:sz w:val="32"/>
          <w:szCs w:val="32"/>
        </w:rPr>
        <w:t>具有咳嗽反射评估方案，可检测不同咳嗽状态下盆底肌肉的反应能力</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评估时间≤60秒，并自动生成评估报告，评估指标包括</w:t>
      </w:r>
      <w:r>
        <w:rPr>
          <w:rFonts w:hint="eastAsia" w:asciiTheme="minorEastAsia" w:hAnsiTheme="minorEastAsia"/>
          <w:sz w:val="32"/>
          <w:szCs w:val="32"/>
        </w:rPr>
        <w:t>起始收缩潜伏时间</w:t>
      </w:r>
      <w:r>
        <w:rPr>
          <w:rFonts w:hint="eastAsia" w:asciiTheme="minorEastAsia" w:hAnsiTheme="minorEastAsia"/>
          <w:sz w:val="32"/>
          <w:szCs w:val="32"/>
          <w:lang w:val="en-US" w:eastAsia="zh-CN"/>
        </w:rPr>
        <w:t>和最大值等</w:t>
      </w:r>
      <w:r>
        <w:rPr>
          <w:rFonts w:hint="eastAsia" w:asciiTheme="minorEastAsia" w:hAnsiTheme="minorEastAsia"/>
          <w:sz w:val="32"/>
          <w:szCs w:val="32"/>
        </w:rPr>
        <w:t>。</w:t>
      </w:r>
    </w:p>
    <w:p>
      <w:pPr>
        <w:numPr>
          <w:ilvl w:val="0"/>
          <w:numId w:val="2"/>
        </w:numPr>
        <w:spacing w:line="360" w:lineRule="auto"/>
        <w:ind w:left="425" w:leftChars="0" w:hanging="425" w:firstLineChars="0"/>
        <w:jc w:val="left"/>
        <w:rPr>
          <w:rFonts w:ascii="宋体" w:hAnsi="宋体"/>
          <w:sz w:val="32"/>
          <w:szCs w:val="32"/>
        </w:rPr>
      </w:pPr>
      <w:bookmarkStart w:id="0" w:name="_GoBack"/>
      <w:bookmarkEnd w:id="0"/>
      <w:r>
        <w:rPr>
          <w:rFonts w:hint="eastAsia" w:asciiTheme="minorEastAsia" w:hAnsiTheme="minorEastAsia"/>
          <w:sz w:val="32"/>
          <w:szCs w:val="32"/>
        </w:rPr>
        <w:t>具有标准盆底肌区分训练模块，可同时监测盆底肌肉、腹肌、内收肌和臀肌</w:t>
      </w:r>
      <w:r>
        <w:rPr>
          <w:rFonts w:hint="eastAsia" w:asciiTheme="minorEastAsia" w:hAnsiTheme="minorEastAsia"/>
          <w:sz w:val="32"/>
          <w:szCs w:val="32"/>
          <w:lang w:val="en-US" w:eastAsia="zh-CN"/>
        </w:rPr>
        <w:t>等</w:t>
      </w:r>
      <w:r>
        <w:rPr>
          <w:rFonts w:hint="eastAsia" w:asciiTheme="minorEastAsia" w:hAnsiTheme="minorEastAsia"/>
          <w:sz w:val="32"/>
          <w:szCs w:val="32"/>
        </w:rPr>
        <w:t>部位肌群的运动状态。</w:t>
      </w:r>
    </w:p>
    <w:p>
      <w:pPr>
        <w:numPr>
          <w:ilvl w:val="0"/>
          <w:numId w:val="0"/>
        </w:numPr>
        <w:spacing w:line="360" w:lineRule="auto"/>
        <w:ind w:left="422" w:hanging="640" w:hangingChars="200"/>
        <w:jc w:val="left"/>
        <w:rPr>
          <w:rFonts w:ascii="宋体" w:hAnsi="宋体"/>
          <w:sz w:val="32"/>
          <w:szCs w:val="32"/>
        </w:rPr>
      </w:pPr>
      <w:r>
        <w:rPr>
          <w:rFonts w:hint="eastAsia" w:ascii="宋体" w:hAnsi="宋体"/>
          <w:sz w:val="32"/>
          <w:szCs w:val="32"/>
          <w:lang w:val="en-US" w:eastAsia="zh-CN"/>
        </w:rPr>
        <w:t>13.</w:t>
      </w:r>
      <w:r>
        <w:rPr>
          <w:rFonts w:hint="eastAsia" w:ascii="宋体" w:hAnsi="宋体"/>
          <w:sz w:val="32"/>
          <w:szCs w:val="32"/>
        </w:rPr>
        <w:t>在每次治疗开始前可自动快速评估当前盆底肌肉的功能状态，评估时间≤50秒, 根据评估结果直接自动调整治疗方案的参数并显示，包括电刺激参数</w:t>
      </w:r>
      <w:r>
        <w:rPr>
          <w:rFonts w:hint="eastAsia" w:ascii="宋体" w:hAnsi="宋体"/>
          <w:sz w:val="32"/>
          <w:szCs w:val="32"/>
          <w:lang w:eastAsia="zh-CN"/>
        </w:rPr>
        <w:t>、</w:t>
      </w:r>
      <w:r>
        <w:rPr>
          <w:rFonts w:hint="eastAsia" w:ascii="宋体" w:hAnsi="宋体"/>
          <w:sz w:val="32"/>
          <w:szCs w:val="32"/>
        </w:rPr>
        <w:t>凯格尔训练参数</w:t>
      </w:r>
      <w:r>
        <w:rPr>
          <w:rFonts w:hint="eastAsia" w:ascii="宋体" w:hAnsi="宋体"/>
          <w:sz w:val="32"/>
          <w:szCs w:val="32"/>
          <w:lang w:val="en-US" w:eastAsia="zh-CN"/>
        </w:rPr>
        <w:t>和多媒体动画训练参数等</w:t>
      </w:r>
      <w:r>
        <w:rPr>
          <w:rFonts w:hint="eastAsia" w:ascii="宋体" w:hAnsi="宋体"/>
          <w:sz w:val="32"/>
          <w:szCs w:val="32"/>
        </w:rPr>
        <w:t>，允许进一步手动调整</w:t>
      </w:r>
      <w:r>
        <w:rPr>
          <w:rFonts w:hint="eastAsia" w:asciiTheme="minorEastAsia" w:hAnsiTheme="minorEastAsia"/>
          <w:sz w:val="32"/>
          <w:szCs w:val="32"/>
        </w:rPr>
        <w:t>。</w:t>
      </w:r>
    </w:p>
    <w:p>
      <w:pPr>
        <w:numPr>
          <w:ilvl w:val="0"/>
          <w:numId w:val="0"/>
        </w:numPr>
        <w:spacing w:line="360" w:lineRule="auto"/>
        <w:ind w:left="420" w:hanging="640" w:hangingChars="200"/>
        <w:jc w:val="left"/>
        <w:rPr>
          <w:rFonts w:asciiTheme="minorEastAsia" w:hAnsiTheme="minorEastAsia"/>
          <w:sz w:val="32"/>
          <w:szCs w:val="32"/>
        </w:rPr>
      </w:pPr>
      <w:r>
        <w:rPr>
          <w:rFonts w:hint="eastAsia" w:ascii="宋体" w:hAnsi="宋体"/>
          <w:sz w:val="32"/>
          <w:szCs w:val="32"/>
          <w:lang w:val="en-US" w:eastAsia="zh-CN"/>
        </w:rPr>
        <w:t xml:space="preserve">14  </w:t>
      </w:r>
      <w:r>
        <w:rPr>
          <w:rFonts w:hint="eastAsia" w:ascii="宋体" w:hAnsi="宋体"/>
          <w:sz w:val="32"/>
          <w:szCs w:val="32"/>
        </w:rPr>
        <w:t>治疗方法至少包括肌电触发电刺激、</w:t>
      </w:r>
      <w:r>
        <w:rPr>
          <w:rFonts w:hint="eastAsia" w:ascii="宋体" w:hAnsi="宋体"/>
          <w:sz w:val="32"/>
          <w:szCs w:val="32"/>
          <w:lang w:val="en-US" w:eastAsia="zh-CN"/>
        </w:rPr>
        <w:t>扩张训练、</w:t>
      </w:r>
      <w:r>
        <w:rPr>
          <w:rFonts w:hint="eastAsia" w:ascii="宋体" w:hAnsi="宋体"/>
          <w:sz w:val="32"/>
          <w:szCs w:val="32"/>
        </w:rPr>
        <w:t>刺激反馈训练、音乐放松训练、呼吸放松训练、多媒体游戏训练，并可自行导入音乐和多媒体动画。</w:t>
      </w:r>
    </w:p>
    <w:p>
      <w:pPr>
        <w:numPr>
          <w:ilvl w:val="0"/>
          <w:numId w:val="3"/>
        </w:numPr>
        <w:spacing w:line="360" w:lineRule="auto"/>
        <w:jc w:val="left"/>
        <w:rPr>
          <w:rFonts w:asciiTheme="minorEastAsia" w:hAnsiTheme="minorEastAsia"/>
          <w:sz w:val="32"/>
          <w:szCs w:val="32"/>
        </w:rPr>
      </w:pPr>
      <w:r>
        <w:rPr>
          <w:rFonts w:hint="eastAsia" w:asciiTheme="minorEastAsia" w:hAnsiTheme="minorEastAsia"/>
          <w:sz w:val="32"/>
          <w:szCs w:val="32"/>
        </w:rPr>
        <w:t>可以通过压力反馈的方式进行盆底肌肉被动扩张训练，且扩张训练方案大于5种</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支持多媒体动画反馈和压力信号反馈，可手动调节充气量，并具有过压保护</w:t>
      </w:r>
      <w:r>
        <w:rPr>
          <w:rFonts w:hint="eastAsia" w:asciiTheme="minorEastAsia" w:hAnsiTheme="minorEastAsia"/>
          <w:sz w:val="32"/>
          <w:szCs w:val="32"/>
        </w:rPr>
        <w:t>。</w:t>
      </w:r>
    </w:p>
    <w:p>
      <w:pPr>
        <w:numPr>
          <w:ilvl w:val="0"/>
          <w:numId w:val="0"/>
        </w:numPr>
        <w:spacing w:line="360" w:lineRule="auto"/>
        <w:jc w:val="left"/>
        <w:rPr>
          <w:rFonts w:asciiTheme="minorEastAsia" w:hAnsiTheme="minorEastAsia"/>
          <w:sz w:val="32"/>
          <w:szCs w:val="32"/>
        </w:rPr>
      </w:pPr>
      <w:r>
        <w:rPr>
          <w:rFonts w:hint="eastAsia" w:ascii="宋体" w:hAnsi="宋体"/>
          <w:sz w:val="32"/>
          <w:szCs w:val="32"/>
          <w:lang w:val="en-US" w:eastAsia="zh-CN"/>
        </w:rPr>
        <w:t xml:space="preserve">16. </w:t>
      </w:r>
      <w:r>
        <w:rPr>
          <w:rFonts w:hint="eastAsia" w:ascii="宋体" w:hAnsi="宋体"/>
          <w:sz w:val="32"/>
          <w:szCs w:val="32"/>
        </w:rPr>
        <w:t>电流强度调节方式至少包括旋钮调节、鼠标调节和按键调节三种，并支持远距离</w:t>
      </w:r>
      <w:r>
        <w:rPr>
          <w:rFonts w:hint="eastAsia" w:ascii="宋体" w:hAnsi="宋体"/>
          <w:sz w:val="32"/>
          <w:szCs w:val="32"/>
          <w:lang w:val="en-US" w:eastAsia="zh-CN"/>
        </w:rPr>
        <w:t>线控</w:t>
      </w:r>
      <w:r>
        <w:rPr>
          <w:rFonts w:hint="eastAsia" w:ascii="宋体" w:hAnsi="宋体"/>
          <w:sz w:val="32"/>
          <w:szCs w:val="32"/>
        </w:rPr>
        <w:t>调节。</w:t>
      </w:r>
    </w:p>
    <w:p>
      <w:pPr>
        <w:numPr>
          <w:ilvl w:val="0"/>
          <w:numId w:val="0"/>
        </w:numPr>
        <w:spacing w:line="360" w:lineRule="auto"/>
        <w:ind w:left="640" w:leftChars="0" w:hanging="640" w:hangingChars="200"/>
        <w:jc w:val="left"/>
        <w:rPr>
          <w:rFonts w:asciiTheme="minorEastAsia" w:hAnsiTheme="minorEastAsia"/>
          <w:sz w:val="32"/>
          <w:szCs w:val="32"/>
        </w:rPr>
      </w:pPr>
      <w:r>
        <w:rPr>
          <w:rFonts w:hint="eastAsia" w:ascii="宋体" w:hAnsi="宋体" w:cs="宋体"/>
          <w:sz w:val="32"/>
          <w:szCs w:val="32"/>
          <w:lang w:val="en-US" w:eastAsia="zh-CN"/>
        </w:rPr>
        <w:t>17.</w:t>
      </w:r>
      <w:r>
        <w:rPr>
          <w:rFonts w:hint="eastAsia" w:ascii="宋体" w:hAnsi="宋体" w:eastAsia="宋体" w:cs="宋体"/>
          <w:sz w:val="32"/>
          <w:szCs w:val="32"/>
        </w:rPr>
        <w:t>疗程方案内的</w:t>
      </w:r>
      <w:r>
        <w:rPr>
          <w:rFonts w:hint="eastAsia" w:asciiTheme="minorEastAsia" w:hAnsiTheme="minorEastAsia"/>
          <w:sz w:val="32"/>
          <w:szCs w:val="32"/>
        </w:rPr>
        <w:t>每次治疗可根据患者当前肌肉状态自适应调整凯格尔训练</w:t>
      </w:r>
      <w:r>
        <w:rPr>
          <w:rFonts w:hint="eastAsia" w:asciiTheme="minorEastAsia" w:hAnsiTheme="minorEastAsia"/>
          <w:sz w:val="32"/>
          <w:szCs w:val="32"/>
          <w:lang w:val="en-US" w:eastAsia="zh-CN"/>
        </w:rPr>
        <w:t>模板的</w:t>
      </w:r>
      <w:r>
        <w:rPr>
          <w:rFonts w:hint="eastAsia" w:asciiTheme="minorEastAsia" w:hAnsiTheme="minorEastAsia"/>
          <w:sz w:val="32"/>
          <w:szCs w:val="32"/>
        </w:rPr>
        <w:t>模板高度、模板宽度和收缩时间</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并允许在治疗过程中手动调整模板高度</w:t>
      </w:r>
      <w:r>
        <w:rPr>
          <w:rFonts w:hint="eastAsia" w:asciiTheme="minorEastAsia" w:hAnsiTheme="minorEastAsia"/>
          <w:sz w:val="32"/>
          <w:szCs w:val="32"/>
        </w:rPr>
        <w:t>。</w:t>
      </w:r>
    </w:p>
    <w:p>
      <w:pPr>
        <w:numPr>
          <w:ilvl w:val="0"/>
          <w:numId w:val="0"/>
        </w:numPr>
        <w:spacing w:line="360" w:lineRule="auto"/>
        <w:ind w:left="420" w:hanging="640" w:hangingChars="200"/>
        <w:jc w:val="left"/>
        <w:rPr>
          <w:rFonts w:asciiTheme="minorEastAsia" w:hAnsiTheme="minorEastAsia"/>
          <w:sz w:val="32"/>
          <w:szCs w:val="32"/>
        </w:rPr>
      </w:pPr>
      <w:r>
        <w:rPr>
          <w:rFonts w:hint="eastAsia" w:ascii="宋体" w:hAnsi="宋体" w:cs="宋体"/>
          <w:sz w:val="32"/>
          <w:szCs w:val="32"/>
          <w:lang w:val="en-US" w:eastAsia="zh-CN"/>
        </w:rPr>
        <w:t xml:space="preserve">18. </w:t>
      </w:r>
      <w:r>
        <w:rPr>
          <w:rFonts w:hint="eastAsia" w:ascii="宋体" w:hAnsi="宋体" w:eastAsia="宋体" w:cs="宋体"/>
          <w:sz w:val="32"/>
          <w:szCs w:val="32"/>
        </w:rPr>
        <w:t>疗程方案内的</w:t>
      </w:r>
      <w:r>
        <w:rPr>
          <w:rFonts w:hint="eastAsia" w:asciiTheme="minorEastAsia" w:hAnsiTheme="minorEastAsia"/>
          <w:sz w:val="32"/>
          <w:szCs w:val="32"/>
        </w:rPr>
        <w:t>每次治疗可根据患者当前肌肉状态自适应调整电刺激参数，包括刺激频率、刺激脉宽和刺激时间等</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并允许在治疗过程中手动调整上述参数</w:t>
      </w:r>
      <w:r>
        <w:rPr>
          <w:rFonts w:hint="eastAsia" w:asciiTheme="minorEastAsia" w:hAnsiTheme="minorEastAsia"/>
          <w:sz w:val="32"/>
          <w:szCs w:val="32"/>
        </w:rPr>
        <w:t>。</w:t>
      </w:r>
    </w:p>
    <w:p>
      <w:pPr>
        <w:numPr>
          <w:ilvl w:val="0"/>
          <w:numId w:val="0"/>
        </w:numPr>
        <w:spacing w:line="360" w:lineRule="auto"/>
        <w:ind w:left="420" w:hanging="640" w:hangingChars="200"/>
        <w:jc w:val="left"/>
        <w:rPr>
          <w:rFonts w:ascii="宋体" w:hAnsi="宋体"/>
          <w:sz w:val="32"/>
          <w:szCs w:val="32"/>
        </w:rPr>
      </w:pPr>
      <w:r>
        <w:rPr>
          <w:rFonts w:hint="eastAsia" w:asciiTheme="minorEastAsia" w:hAnsiTheme="minorEastAsia"/>
          <w:sz w:val="32"/>
          <w:szCs w:val="32"/>
          <w:lang w:val="en-US" w:eastAsia="zh-CN"/>
        </w:rPr>
        <w:t xml:space="preserve">19. </w:t>
      </w:r>
      <w:r>
        <w:rPr>
          <w:rFonts w:hint="eastAsia" w:asciiTheme="minorEastAsia" w:hAnsiTheme="minorEastAsia"/>
          <w:sz w:val="32"/>
          <w:szCs w:val="32"/>
        </w:rPr>
        <w:t>治疗过程中</w:t>
      </w:r>
      <w:r>
        <w:rPr>
          <w:rFonts w:hint="eastAsia" w:asciiTheme="minorEastAsia" w:hAnsiTheme="minorEastAsia"/>
          <w:sz w:val="32"/>
          <w:szCs w:val="32"/>
          <w:lang w:val="en-US" w:eastAsia="zh-CN"/>
        </w:rPr>
        <w:t>实时监测</w:t>
      </w:r>
      <w:r>
        <w:rPr>
          <w:rFonts w:hint="eastAsia" w:asciiTheme="minorEastAsia" w:hAnsiTheme="minorEastAsia"/>
          <w:sz w:val="32"/>
          <w:szCs w:val="32"/>
        </w:rPr>
        <w:t>肌肉疲劳状态，</w:t>
      </w:r>
      <w:r>
        <w:rPr>
          <w:rFonts w:hint="eastAsia" w:asciiTheme="minorEastAsia" w:hAnsiTheme="minorEastAsia"/>
          <w:sz w:val="32"/>
          <w:szCs w:val="32"/>
          <w:lang w:val="en-US" w:eastAsia="zh-CN"/>
        </w:rPr>
        <w:t>监测指标至少包括平均功率频率，可根据疲劳状态自动</w:t>
      </w:r>
      <w:r>
        <w:rPr>
          <w:rFonts w:hint="eastAsia" w:asciiTheme="minorEastAsia" w:hAnsiTheme="minorEastAsia"/>
          <w:sz w:val="32"/>
          <w:szCs w:val="32"/>
        </w:rPr>
        <w:t>调整训练难度</w:t>
      </w:r>
      <w:r>
        <w:rPr>
          <w:rFonts w:hint="eastAsia" w:ascii="宋体" w:hAnsi="宋体"/>
          <w:sz w:val="32"/>
          <w:szCs w:val="32"/>
        </w:rPr>
        <w:t>。</w:t>
      </w:r>
    </w:p>
    <w:p>
      <w:pPr>
        <w:numPr>
          <w:ilvl w:val="0"/>
          <w:numId w:val="0"/>
        </w:numPr>
        <w:spacing w:line="360" w:lineRule="auto"/>
        <w:jc w:val="left"/>
        <w:rPr>
          <w:rFonts w:ascii="宋体" w:hAnsi="宋体"/>
          <w:sz w:val="32"/>
          <w:szCs w:val="32"/>
        </w:rPr>
      </w:pPr>
      <w:r>
        <w:rPr>
          <w:rFonts w:hint="eastAsia" w:ascii="宋体" w:hAnsi="宋体"/>
          <w:sz w:val="32"/>
          <w:szCs w:val="32"/>
          <w:lang w:val="en-US" w:eastAsia="zh-CN"/>
        </w:rPr>
        <w:t xml:space="preserve">20. </w:t>
      </w:r>
      <w:r>
        <w:rPr>
          <w:rFonts w:hint="eastAsia" w:ascii="宋体" w:hAnsi="宋体"/>
          <w:sz w:val="32"/>
          <w:szCs w:val="32"/>
        </w:rPr>
        <w:t>可实现多通道关联刺激，处于关联状态下的各通道之间刺激和休息状态同步。</w:t>
      </w:r>
    </w:p>
    <w:p>
      <w:pPr>
        <w:numPr>
          <w:ilvl w:val="0"/>
          <w:numId w:val="4"/>
        </w:numPr>
        <w:snapToGrid/>
        <w:spacing w:before="0" w:beforeAutospacing="0" w:after="0" w:afterAutospacing="0" w:line="360" w:lineRule="auto"/>
        <w:ind w:left="0" w:leftChars="0" w:firstLine="0" w:firstLineChars="0"/>
        <w:jc w:val="both"/>
        <w:textAlignment w:val="baseline"/>
        <w:rPr>
          <w:rStyle w:val="6"/>
          <w:rFonts w:ascii="Calibri" w:hAnsi="Calibri" w:eastAsia="宋体"/>
          <w:b w:val="0"/>
          <w:i w:val="0"/>
          <w:caps w:val="0"/>
          <w:color w:val="000000"/>
          <w:spacing w:val="0"/>
          <w:w w:val="100"/>
          <w:kern w:val="2"/>
          <w:sz w:val="32"/>
          <w:szCs w:val="32"/>
          <w:lang w:val="en-US" w:eastAsia="zh-CN" w:bidi="ar-SA"/>
        </w:rPr>
      </w:pPr>
      <w:r>
        <w:rPr>
          <w:rFonts w:hint="eastAsia" w:asciiTheme="minorEastAsia" w:hAnsiTheme="minorEastAsia"/>
          <w:sz w:val="32"/>
          <w:szCs w:val="32"/>
        </w:rPr>
        <w:t>数据管理模块至少包括工作量统计、数据回顾和趋势分析等，</w:t>
      </w:r>
      <w:r>
        <w:rPr>
          <w:rFonts w:hint="eastAsia" w:asciiTheme="minorEastAsia" w:hAnsiTheme="minorEastAsia"/>
          <w:sz w:val="32"/>
          <w:szCs w:val="32"/>
          <w:lang w:val="en-US" w:eastAsia="zh-CN"/>
        </w:rPr>
        <w:t>可实现多个条件联合检索，并支持多种图表形式显示，包括线图、直方图和饼图等</w:t>
      </w:r>
      <w:r>
        <w:rPr>
          <w:rFonts w:hint="eastAsia" w:asciiTheme="minorEastAsia" w:hAnsiTheme="minorEastAsia"/>
          <w:sz w:val="32"/>
          <w:szCs w:val="32"/>
        </w:rPr>
        <w:t>。</w:t>
      </w:r>
    </w:p>
    <w:p>
      <w:pPr>
        <w:snapToGrid/>
        <w:spacing w:before="0" w:beforeAutospacing="0" w:after="0" w:afterAutospacing="0" w:line="360" w:lineRule="auto"/>
        <w:ind w:left="425"/>
        <w:jc w:val="both"/>
        <w:textAlignment w:val="baseline"/>
        <w:rPr>
          <w:rStyle w:val="6"/>
          <w:rFonts w:ascii="Calibri" w:hAnsi="Calibri" w:eastAsia="宋体"/>
          <w:b w:val="0"/>
          <w:i w:val="0"/>
          <w:caps w:val="0"/>
          <w:color w:val="000000"/>
          <w:spacing w:val="0"/>
          <w:w w:val="100"/>
          <w:kern w:val="2"/>
          <w:sz w:val="32"/>
          <w:szCs w:val="32"/>
          <w:lang w:val="en-US" w:eastAsia="zh-CN" w:bidi="ar-SA"/>
        </w:rPr>
      </w:pPr>
    </w:p>
    <w:sectPr>
      <w:pgSz w:w="11906" w:h="16838"/>
      <w:pgMar w:top="1440" w:right="1106"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41111"/>
    <w:multiLevelType w:val="singleLevel"/>
    <w:tmpl w:val="C4741111"/>
    <w:lvl w:ilvl="0" w:tentative="0">
      <w:start w:val="21"/>
      <w:numFmt w:val="decimal"/>
      <w:suff w:val="space"/>
      <w:lvlText w:val="%1."/>
      <w:lvlJc w:val="left"/>
    </w:lvl>
  </w:abstractNum>
  <w:abstractNum w:abstractNumId="1">
    <w:nsid w:val="0AA0C64D"/>
    <w:multiLevelType w:val="singleLevel"/>
    <w:tmpl w:val="0AA0C64D"/>
    <w:lvl w:ilvl="0" w:tentative="0">
      <w:start w:val="15"/>
      <w:numFmt w:val="decimal"/>
      <w:suff w:val="space"/>
      <w:lvlText w:val="%1."/>
      <w:lvlJc w:val="left"/>
    </w:lvl>
  </w:abstractNum>
  <w:abstractNum w:abstractNumId="2">
    <w:nsid w:val="0DB9FAA7"/>
    <w:multiLevelType w:val="singleLevel"/>
    <w:tmpl w:val="0DB9FAA7"/>
    <w:lvl w:ilvl="0" w:tentative="0">
      <w:start w:val="1"/>
      <w:numFmt w:val="decimal"/>
      <w:lvlText w:val="%1."/>
      <w:lvlJc w:val="left"/>
      <w:pPr>
        <w:widowControl/>
        <w:ind w:left="425" w:hanging="425"/>
        <w:textAlignment w:val="baseline"/>
      </w:pPr>
      <w:rPr>
        <w:rStyle w:val="6"/>
      </w:rPr>
    </w:lvl>
  </w:abstractNum>
  <w:abstractNum w:abstractNumId="3">
    <w:nsid w:val="771F4AC7"/>
    <w:multiLevelType w:val="singleLevel"/>
    <w:tmpl w:val="771F4AC7"/>
    <w:lvl w:ilvl="0" w:tentative="0">
      <w:start w:val="1"/>
      <w:numFmt w:val="decimal"/>
      <w:lvlText w:val="%1."/>
      <w:lvlJc w:val="left"/>
      <w:pPr>
        <w:widowControl/>
        <w:ind w:left="425" w:hanging="425"/>
        <w:textAlignment w:val="baseline"/>
      </w:pPr>
      <w:rPr>
        <w:rStyle w:val="6"/>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29D6249"/>
    <w:rsid w:val="041E1B5B"/>
    <w:rsid w:val="0F134114"/>
    <w:rsid w:val="13A732FF"/>
    <w:rsid w:val="1E5B6DA3"/>
    <w:rsid w:val="1F506DE2"/>
    <w:rsid w:val="1FC7063F"/>
    <w:rsid w:val="20EA5926"/>
    <w:rsid w:val="28F70587"/>
    <w:rsid w:val="32771E1F"/>
    <w:rsid w:val="34500C2C"/>
    <w:rsid w:val="3905561B"/>
    <w:rsid w:val="459A3881"/>
    <w:rsid w:val="49E404AB"/>
    <w:rsid w:val="4FE87512"/>
    <w:rsid w:val="52F52286"/>
    <w:rsid w:val="562B4B0D"/>
    <w:rsid w:val="607602E5"/>
    <w:rsid w:val="641B656B"/>
    <w:rsid w:val="656B5B4F"/>
    <w:rsid w:val="672D1A7F"/>
    <w:rsid w:val="6B0622D4"/>
    <w:rsid w:val="708F210C"/>
    <w:rsid w:val="7D426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link w:val="2"/>
    <w:qFormat/>
    <w:uiPriority w:val="0"/>
    <w:rPr>
      <w:sz w:val="18"/>
      <w:szCs w:val="18"/>
    </w:rPr>
  </w:style>
  <w:style w:type="character" w:customStyle="1" w:styleId="9">
    <w:name w:val="UserStyle_1"/>
    <w:link w:val="10"/>
    <w:semiHidden/>
    <w:qFormat/>
    <w:uiPriority w:val="0"/>
    <w:rPr>
      <w:rFonts w:ascii="宋体"/>
      <w:kern w:val="2"/>
      <w:sz w:val="18"/>
      <w:szCs w:val="18"/>
    </w:rPr>
  </w:style>
  <w:style w:type="paragraph" w:customStyle="1" w:styleId="10">
    <w:name w:val="Acetate"/>
    <w:basedOn w:val="1"/>
    <w:link w:val="9"/>
    <w:qFormat/>
    <w:uiPriority w:val="0"/>
    <w:pPr>
      <w:jc w:val="both"/>
      <w:textAlignment w:val="baseline"/>
    </w:pPr>
    <w:rPr>
      <w:rFonts w:ascii="宋体"/>
      <w:kern w:val="2"/>
      <w:sz w:val="18"/>
      <w:szCs w:val="18"/>
      <w:lang w:val="en-US" w:eastAsia="zh-CN" w:bidi="ar-SA"/>
    </w:rPr>
  </w:style>
  <w:style w:type="character" w:customStyle="1" w:styleId="11">
    <w:name w:val="UserStyle_2"/>
    <w:link w:val="3"/>
    <w:qFormat/>
    <w:uiPriority w:val="0"/>
    <w:rPr>
      <w:sz w:val="18"/>
      <w:szCs w:val="18"/>
    </w:rPr>
  </w:style>
  <w:style w:type="paragraph" w:customStyle="1" w:styleId="12">
    <w:name w:val="AnnotationText"/>
    <w:basedOn w:val="1"/>
    <w:qFormat/>
    <w:uiPriority w:val="0"/>
    <w:pPr>
      <w:jc w:val="left"/>
      <w:textAlignment w:val="baseline"/>
    </w:pPr>
  </w:style>
  <w:style w:type="paragraph" w:customStyle="1" w:styleId="13">
    <w:name w:val="UserStyle_3"/>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Office_11.1.0.10503_F1E327BC-269C-435d-A152-05C5408002CA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2021-08-05T13:18:00Z</dcterms:created>
  <dc:creator>chenli</dc:creator>
  <cp:lastModifiedBy>四季</cp:lastModifiedBy>
  <dcterms:modified xsi:type="dcterms:W3CDTF">2021-08-20T07:40:54Z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05C3C29C83DC4A58AA3E4CA18013EED3</vt:lpwstr>
  </property>
</Properties>
</file>