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eastAsia="黑体"/>
          <w:b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麻醉机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技术</w:t>
      </w:r>
      <w:r>
        <w:rPr>
          <w:rFonts w:hint="eastAsia" w:ascii="黑体" w:hAnsi="黑体" w:eastAsia="黑体" w:cs="Times New Roman"/>
          <w:sz w:val="32"/>
          <w:szCs w:val="32"/>
        </w:rPr>
        <w:t>参数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要求</w:t>
      </w:r>
    </w:p>
    <w:p>
      <w:pPr>
        <w:tabs>
          <w:tab w:val="left" w:pos="540"/>
        </w:tabs>
        <w:autoSpaceDE w:val="0"/>
        <w:autoSpaceDN w:val="0"/>
        <w:adjustRightInd w:val="0"/>
        <w:spacing w:line="300" w:lineRule="auto"/>
        <w:ind w:left="220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pStyle w:val="34"/>
        <w:numPr>
          <w:ilvl w:val="0"/>
          <w:numId w:val="2"/>
        </w:numPr>
        <w:spacing w:line="300" w:lineRule="auto"/>
        <w:ind w:left="425" w:leftChars="0" w:hanging="425" w:firstLineChars="0"/>
        <w:rPr>
          <w:rFonts w:ascii="Times New Roman" w:hAnsi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大容量蓄电池。持续为麻醉机供电实际时间100分钟以上。</w:t>
      </w:r>
    </w:p>
    <w:p>
      <w:pPr>
        <w:pStyle w:val="34"/>
        <w:numPr>
          <w:ilvl w:val="0"/>
          <w:numId w:val="2"/>
        </w:numPr>
        <w:spacing w:line="300" w:lineRule="auto"/>
        <w:ind w:left="425" w:leftChars="0" w:hanging="425" w:firstLineChars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★具备氧气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空气</w:t>
      </w:r>
      <w:r>
        <w:rPr>
          <w:rFonts w:hint="eastAsia" w:ascii="Times New Roman" w:hAnsi="Times New Roman" w:cs="Times New Roman"/>
          <w:lang w:val="en-US" w:eastAsia="zh-CN"/>
        </w:rPr>
        <w:t>双气源。</w:t>
      </w:r>
      <w:r>
        <w:rPr>
          <w:rFonts w:ascii="Times New Roman" w:hAnsi="Times New Roman" w:cs="Times New Roman"/>
        </w:rPr>
        <w:t>流量</w:t>
      </w:r>
      <w:r>
        <w:rPr>
          <w:rFonts w:hint="eastAsia" w:ascii="Times New Roman" w:hAnsi="Times New Roman" w:cs="Times New Roman"/>
        </w:rPr>
        <w:t>调节范围：0-1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</w:rPr>
        <w:t>L/min</w:t>
      </w:r>
      <w:r>
        <w:rPr>
          <w:rFonts w:ascii="Times New Roman" w:hAnsi="Times New Roman" w:cs="Times New Roman"/>
        </w:rPr>
        <w:t>。</w:t>
      </w:r>
    </w:p>
    <w:p>
      <w:pPr>
        <w:pStyle w:val="34"/>
        <w:numPr>
          <w:ilvl w:val="0"/>
          <w:numId w:val="2"/>
        </w:numPr>
        <w:spacing w:line="300" w:lineRule="auto"/>
        <w:ind w:left="425" w:leftChars="0" w:hanging="425" w:firstLineChars="0"/>
        <w:rPr>
          <w:rFonts w:ascii="Times New Roman" w:hAnsi="Times New Roman"/>
        </w:rPr>
      </w:pPr>
      <w:r>
        <w:rPr>
          <w:rFonts w:hint="eastAsia" w:ascii="Times New Roman" w:hAnsi="Times New Roman" w:cs="Times New Roman"/>
        </w:rPr>
        <w:t>快速充氧范围25 - 75 l/min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34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425" w:leftChars="0" w:hanging="425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★</w:t>
      </w:r>
      <w:r>
        <w:rPr>
          <w:rFonts w:ascii="Times New Roman" w:hAnsi="Times New Roman" w:cs="Times New Roman"/>
          <w:szCs w:val="21"/>
        </w:rPr>
        <w:t>通气模式：</w:t>
      </w:r>
      <w:r>
        <w:rPr>
          <w:rFonts w:hint="eastAsia" w:ascii="Times New Roman" w:hAnsi="Times New Roman" w:cs="Times New Roman"/>
          <w:szCs w:val="21"/>
          <w:lang w:eastAsia="zh-CN"/>
        </w:rPr>
        <w:t>标配</w:t>
      </w:r>
      <w:r>
        <w:rPr>
          <w:rFonts w:ascii="Times New Roman" w:hAnsi="Times New Roman" w:cs="Times New Roman"/>
          <w:szCs w:val="21"/>
        </w:rPr>
        <w:t>VCV、手动</w:t>
      </w:r>
      <w:r>
        <w:rPr>
          <w:rFonts w:hint="eastAsia" w:ascii="Times New Roman" w:hAnsi="Times New Roman" w:cs="Times New Roman"/>
          <w:szCs w:val="21"/>
          <w:lang w:val="en-US" w:eastAsia="zh-CN"/>
        </w:rPr>
        <w:t>通气</w:t>
      </w:r>
      <w:r>
        <w:rPr>
          <w:rFonts w:ascii="Times New Roman" w:hAnsi="Times New Roman" w:cs="Times New Roman"/>
          <w:szCs w:val="21"/>
        </w:rPr>
        <w:t>。</w:t>
      </w:r>
      <w:r>
        <w:rPr>
          <w:rStyle w:val="19"/>
          <w:rFonts w:hint="eastAsia" w:ascii="Times New Roman" w:hAnsi="Times New Roman"/>
          <w:lang w:eastAsia="zh-CN"/>
        </w:rPr>
        <w:t>可选配</w:t>
      </w:r>
      <w:r>
        <w:rPr>
          <w:rStyle w:val="19"/>
          <w:rFonts w:hint="eastAsia" w:ascii="Times New Roman" w:hAnsi="Times New Roman" w:eastAsia="宋体" w:cs="宋体"/>
          <w:b w:val="0"/>
          <w:bCs w:val="0"/>
          <w:lang w:val="en-US" w:eastAsia="zh-CN"/>
        </w:rPr>
        <w:t>PCV、SIMV</w:t>
      </w:r>
      <w:r>
        <w:rPr>
          <w:rStyle w:val="19"/>
          <w:rFonts w:hint="eastAsia" w:ascii="Times New Roman" w:hAnsi="Times New Roman" w:cs="宋体"/>
          <w:b w:val="0"/>
          <w:bCs w:val="0"/>
          <w:lang w:val="en-US" w:eastAsia="zh-CN"/>
        </w:rPr>
        <w:t>-PC</w:t>
      </w:r>
      <w:r>
        <w:rPr>
          <w:rStyle w:val="19"/>
          <w:rFonts w:hint="eastAsia" w:ascii="Times New Roman" w:hAnsi="Times New Roman" w:eastAsia="宋体" w:cs="宋体"/>
          <w:b w:val="0"/>
          <w:bCs w:val="0"/>
          <w:lang w:val="en-US" w:eastAsia="zh-CN"/>
        </w:rPr>
        <w:t>、SIMV</w:t>
      </w:r>
      <w:r>
        <w:rPr>
          <w:rStyle w:val="19"/>
          <w:rFonts w:hint="eastAsia" w:ascii="Times New Roman" w:hAnsi="Times New Roman" w:cs="宋体"/>
          <w:b w:val="0"/>
          <w:bCs w:val="0"/>
          <w:lang w:val="en-US" w:eastAsia="zh-CN"/>
        </w:rPr>
        <w:t>-VC、</w:t>
      </w:r>
      <w:r>
        <w:rPr>
          <w:rStyle w:val="19"/>
          <w:rFonts w:hint="eastAsia" w:ascii="Times New Roman" w:hAnsi="Times New Roman" w:eastAsia="宋体" w:cs="宋体"/>
          <w:b w:val="0"/>
          <w:bCs w:val="0"/>
          <w:lang w:val="en-US" w:eastAsia="zh-CN"/>
        </w:rPr>
        <w:t>SIMV</w:t>
      </w:r>
      <w:r>
        <w:rPr>
          <w:rStyle w:val="19"/>
          <w:rFonts w:hint="eastAsia" w:ascii="Times New Roman" w:hAnsi="Times New Roman" w:cs="宋体"/>
          <w:b w:val="0"/>
          <w:bCs w:val="0"/>
          <w:lang w:val="en-US" w:eastAsia="zh-CN"/>
        </w:rPr>
        <w:t>-</w:t>
      </w:r>
      <w:r>
        <w:rPr>
          <w:rStyle w:val="19"/>
          <w:rFonts w:hint="eastAsia" w:ascii="Times New Roman" w:hAnsi="Times New Roman" w:eastAsia="宋体" w:cs="宋体"/>
          <w:b w:val="0"/>
          <w:bCs w:val="0"/>
          <w:lang w:val="en-US" w:eastAsia="zh-CN"/>
        </w:rPr>
        <w:t>PRVC</w:t>
      </w:r>
      <w:r>
        <w:rPr>
          <w:rStyle w:val="19"/>
          <w:rFonts w:hint="eastAsia" w:ascii="Times New Roman" w:hAnsi="Times New Roman" w:cs="宋体"/>
          <w:b w:val="0"/>
          <w:bCs w:val="0"/>
          <w:lang w:val="en-US" w:eastAsia="zh-CN"/>
        </w:rPr>
        <w:t>、CPAP/</w:t>
      </w:r>
      <w:r>
        <w:rPr>
          <w:rStyle w:val="19"/>
          <w:rFonts w:hint="eastAsia" w:ascii="Times New Roman" w:hAnsi="Times New Roman" w:eastAsia="宋体" w:cs="宋体"/>
          <w:b w:val="0"/>
          <w:bCs w:val="0"/>
          <w:lang w:val="en-US" w:eastAsia="zh-CN"/>
        </w:rPr>
        <w:t>PSV、PRVC</w:t>
      </w:r>
      <w:r>
        <w:rPr>
          <w:rStyle w:val="19"/>
          <w:rFonts w:hint="eastAsia" w:ascii="Times New Roman" w:hAnsi="Times New Roman" w:cs="宋体"/>
          <w:b w:val="0"/>
          <w:bCs w:val="0"/>
          <w:lang w:val="en-US" w:eastAsia="zh-CN"/>
        </w:rPr>
        <w:t>、PSVPro</w:t>
      </w:r>
      <w:r>
        <w:rPr>
          <w:rStyle w:val="19"/>
          <w:rFonts w:hint="eastAsia" w:ascii="Times New Roman" w:hAnsi="Times New Roman"/>
          <w:lang w:val="en-US" w:eastAsia="zh-CN"/>
        </w:rPr>
        <w:t>。</w:t>
      </w:r>
    </w:p>
    <w:p>
      <w:pPr>
        <w:pStyle w:val="34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425" w:leftChars="0" w:hanging="425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★</w:t>
      </w:r>
      <w:r>
        <w:rPr>
          <w:rFonts w:hint="eastAsia" w:ascii="Times New Roman" w:hAnsi="Times New Roman" w:cs="Times New Roman"/>
          <w:szCs w:val="21"/>
          <w:lang w:val="en-US" w:eastAsia="zh-CN"/>
        </w:rPr>
        <w:t>具备</w:t>
      </w:r>
      <w:r>
        <w:rPr>
          <w:rFonts w:ascii="Times New Roman" w:hAnsi="Times New Roman" w:cs="Times New Roman"/>
          <w:szCs w:val="21"/>
        </w:rPr>
        <w:t>参数监测：</w:t>
      </w:r>
      <w:r>
        <w:rPr>
          <w:rFonts w:hint="eastAsia" w:ascii="Times New Roman" w:hAnsi="Times New Roman" w:cs="Times New Roman"/>
          <w:lang w:val="en-US" w:eastAsia="zh-CN"/>
        </w:rPr>
        <w:t>呼气末</w:t>
      </w:r>
      <w:r>
        <w:rPr>
          <w:rFonts w:hint="eastAsia" w:ascii="Times New Roman" w:hAnsi="Times New Roman" w:cs="Times New Roman"/>
        </w:rPr>
        <w:t>CO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氧浓度监测，</w:t>
      </w:r>
      <w:r>
        <w:rPr>
          <w:rFonts w:ascii="Times New Roman" w:hAnsi="Times New Roman" w:cs="Times New Roman"/>
          <w:szCs w:val="21"/>
        </w:rPr>
        <w:t>呼出潮气量、吸入潮气量、分钟通气量、呼吸频率、峰压、平均压、平台压、</w:t>
      </w:r>
      <w:r>
        <w:rPr>
          <w:rFonts w:hint="eastAsia" w:ascii="Times New Roman" w:hAnsi="Times New Roman" w:cs="Times New Roman"/>
          <w:szCs w:val="21"/>
        </w:rPr>
        <w:t>呼末正压</w:t>
      </w:r>
      <w:r>
        <w:rPr>
          <w:rFonts w:ascii="Times New Roman" w:hAnsi="Times New Roman" w:cs="Times New Roman"/>
          <w:szCs w:val="21"/>
        </w:rPr>
        <w:t>、吸呼比、气道阻力</w:t>
      </w:r>
      <w:r>
        <w:rPr>
          <w:rFonts w:hint="eastAsia" w:ascii="Times New Roman" w:hAnsi="Times New Roman" w:cs="Times New Roman"/>
          <w:szCs w:val="21"/>
          <w:lang w:eastAsia="zh-CN"/>
        </w:rPr>
        <w:t>。</w:t>
      </w:r>
      <w:r>
        <w:rPr>
          <w:rFonts w:hint="eastAsia" w:ascii="Times New Roman" w:hAnsi="Times New Roman" w:cs="Times New Roman"/>
          <w:szCs w:val="21"/>
        </w:rPr>
        <w:t>可选配：</w:t>
      </w:r>
      <w:r>
        <w:rPr>
          <w:rFonts w:ascii="Times New Roman" w:hAnsi="Times New Roman" w:cs="Times New Roman"/>
          <w:szCs w:val="21"/>
        </w:rPr>
        <w:t>动态肺顺应性、</w:t>
      </w:r>
      <w:r>
        <w:rPr>
          <w:rFonts w:hint="eastAsia" w:ascii="Times New Roman" w:hAnsi="Times New Roman" w:cs="Times New Roman"/>
          <w:szCs w:val="21"/>
        </w:rPr>
        <w:t>麻醉气体浓度</w:t>
      </w:r>
      <w:r>
        <w:rPr>
          <w:rFonts w:hint="eastAsia" w:ascii="Times New Roman" w:hAnsi="Times New Roman" w:cs="Times New Roman"/>
          <w:szCs w:val="21"/>
          <w:lang w:eastAsia="zh-CN"/>
        </w:rPr>
        <w:t>、麻醉深度</w:t>
      </w:r>
      <w:r>
        <w:rPr>
          <w:rFonts w:hint="eastAsia" w:ascii="Times New Roman" w:hAnsi="Times New Roman" w:cs="Times New Roman"/>
          <w:szCs w:val="21"/>
        </w:rPr>
        <w:t>监测</w:t>
      </w:r>
      <w:r>
        <w:rPr>
          <w:rFonts w:hint="eastAsia" w:ascii="Times New Roman" w:hAnsi="Times New Roman" w:cs="Times New Roman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BIS</w:t>
      </w:r>
      <w:r>
        <w:rPr>
          <w:rFonts w:hint="eastAsia" w:ascii="Times New Roman" w:hAnsi="Times New Roman" w:cs="Times New Roman"/>
          <w:szCs w:val="21"/>
          <w:lang w:eastAsia="zh-CN"/>
        </w:rPr>
        <w:t>）</w:t>
      </w:r>
      <w:r>
        <w:rPr>
          <w:rFonts w:ascii="Times New Roman" w:hAnsi="Times New Roman" w:cs="Times New Roman"/>
          <w:szCs w:val="21"/>
        </w:rPr>
        <w:t>。</w:t>
      </w:r>
      <w:bookmarkStart w:id="0" w:name="_GoBack"/>
      <w:bookmarkEnd w:id="0"/>
    </w:p>
    <w:p>
      <w:pPr>
        <w:pStyle w:val="34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425" w:leftChars="0" w:hanging="425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★</w:t>
      </w:r>
      <w:r>
        <w:rPr>
          <w:rFonts w:hint="eastAsia" w:ascii="Times New Roman" w:hAnsi="Times New Roman" w:cs="Times New Roman"/>
          <w:lang w:val="en-US" w:eastAsia="zh-CN"/>
        </w:rPr>
        <w:t>容控时</w:t>
      </w:r>
      <w:r>
        <w:rPr>
          <w:rFonts w:ascii="Times New Roman" w:hAnsi="Times New Roman" w:cs="Times New Roman"/>
          <w:szCs w:val="21"/>
        </w:rPr>
        <w:t>潮气量</w:t>
      </w:r>
      <w:r>
        <w:rPr>
          <w:rFonts w:hint="eastAsia" w:ascii="Times New Roman" w:hAnsi="Times New Roman" w:cs="Times New Roman"/>
          <w:szCs w:val="21"/>
          <w:lang w:val="en-US" w:eastAsia="zh-CN"/>
        </w:rPr>
        <w:t>可</w:t>
      </w:r>
      <w:r>
        <w:rPr>
          <w:rFonts w:hint="eastAsia" w:ascii="Times New Roman" w:hAnsi="Times New Roman" w:cs="Times New Roman"/>
          <w:szCs w:val="21"/>
        </w:rPr>
        <w:t>设定范围</w:t>
      </w:r>
      <w:r>
        <w:rPr>
          <w:rFonts w:ascii="Times New Roman" w:hAnsi="Times New Roman" w:cs="Times New Roman"/>
          <w:szCs w:val="21"/>
        </w:rPr>
        <w:t>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20</w:t>
      </w:r>
      <w:r>
        <w:rPr>
          <w:rFonts w:ascii="Times New Roman" w:hAnsi="Times New Roman" w:cs="Times New Roman"/>
          <w:szCs w:val="21"/>
        </w:rPr>
        <w:t>ml～1500ml</w:t>
      </w:r>
      <w:r>
        <w:rPr>
          <w:rFonts w:hint="eastAsia" w:ascii="Times New Roman" w:hAnsi="Times New Roman" w:cs="Times New Roman"/>
          <w:szCs w:val="21"/>
          <w:lang w:eastAsia="zh-CN"/>
        </w:rPr>
        <w:t>。</w:t>
      </w:r>
      <w:r>
        <w:rPr>
          <w:rFonts w:hint="eastAsia" w:ascii="Times New Roman" w:hAnsi="Times New Roman" w:cs="Times New Roman"/>
          <w:szCs w:val="21"/>
          <w:lang w:val="en-US" w:eastAsia="zh-CN"/>
        </w:rPr>
        <w:t>具备潮气量补偿功能。</w:t>
      </w:r>
    </w:p>
    <w:p>
      <w:pPr>
        <w:pStyle w:val="34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425" w:leftChars="0" w:hanging="425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呼吸频率4~60次/分；PEEP0~30cmH</w:t>
      </w:r>
      <w:r>
        <w:rPr>
          <w:rFonts w:hint="eastAsia" w:ascii="Times New Roman" w:hAnsi="Times New Roman" w:cs="Times New Roman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szCs w:val="21"/>
          <w:lang w:val="en-US" w:eastAsia="zh-CN"/>
        </w:rPr>
        <w:t>O；吸呼比2:1至6:1。</w:t>
      </w:r>
    </w:p>
    <w:p>
      <w:pPr>
        <w:pStyle w:val="34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425" w:leftChars="0" w:hanging="425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集成式、一体化</w:t>
      </w:r>
      <w:r>
        <w:rPr>
          <w:rFonts w:hint="eastAsia" w:ascii="Times New Roman" w:hAnsi="Times New Roman" w:cs="Times New Roman"/>
          <w:szCs w:val="21"/>
        </w:rPr>
        <w:t>回路，无需工具可徒手拆卸，回路与主机无管路连接，回路容积≤2.5L。</w:t>
      </w:r>
    </w:p>
    <w:p>
      <w:pPr>
        <w:pStyle w:val="34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425" w:leftChars="0" w:hanging="425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具</w:t>
      </w:r>
      <w:r>
        <w:rPr>
          <w:rFonts w:hint="eastAsia" w:ascii="Times New Roman" w:hAnsi="Times New Roman" w:cs="Times New Roman"/>
          <w:szCs w:val="21"/>
          <w:lang w:val="en-US" w:eastAsia="zh-CN"/>
        </w:rPr>
        <w:t>有</w:t>
      </w:r>
      <w:r>
        <w:rPr>
          <w:rFonts w:hint="eastAsia" w:ascii="Times New Roman" w:hAnsi="Times New Roman" w:cs="Times New Roman"/>
          <w:szCs w:val="21"/>
        </w:rPr>
        <w:t>呼气端积水排水阀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szCs w:val="21"/>
        </w:rPr>
        <w:t>支持术中排水，防止麻醉气体泄漏。</w:t>
      </w:r>
    </w:p>
    <w:p>
      <w:pPr>
        <w:pStyle w:val="34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Cs w:val="21"/>
        </w:rPr>
        <w:t>回路</w:t>
      </w:r>
      <w:r>
        <w:rPr>
          <w:rFonts w:ascii="Times New Roman" w:hAnsi="Times New Roman" w:cs="Times New Roman"/>
          <w:szCs w:val="21"/>
        </w:rPr>
        <w:t>泄漏量</w:t>
      </w:r>
      <w:r>
        <w:rPr>
          <w:rFonts w:hint="eastAsia" w:ascii="Times New Roman" w:hAnsi="Times New Roman" w:cs="Times New Roman"/>
          <w:szCs w:val="21"/>
          <w:lang w:eastAsia="zh-CN"/>
        </w:rPr>
        <w:t>应不大于</w:t>
      </w:r>
      <w:r>
        <w:rPr>
          <w:rFonts w:hint="eastAsia" w:ascii="Times New Roman" w:hAnsi="Times New Roman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ml/min。</w:t>
      </w:r>
    </w:p>
    <w:p>
      <w:pPr>
        <w:pStyle w:val="34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425" w:leftChars="0" w:hanging="425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★</w:t>
      </w:r>
      <w:r>
        <w:rPr>
          <w:rFonts w:hint="eastAsia" w:ascii="Times New Roman" w:hAnsi="Times New Roman" w:cs="Times New Roman"/>
          <w:szCs w:val="21"/>
        </w:rPr>
        <w:t>进口</w:t>
      </w:r>
      <w:r>
        <w:rPr>
          <w:rFonts w:hint="eastAsia" w:ascii="Times New Roman" w:hAnsi="Times New Roman" w:cs="Times New Roman"/>
          <w:szCs w:val="21"/>
          <w:lang w:val="en-US" w:eastAsia="zh-CN"/>
        </w:rPr>
        <w:t>七氟烷</w:t>
      </w:r>
      <w:r>
        <w:rPr>
          <w:rFonts w:ascii="Times New Roman" w:hAnsi="Times New Roman" w:cs="Times New Roman"/>
          <w:szCs w:val="21"/>
        </w:rPr>
        <w:t>蒸发罐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具有温度、压力、流量补偿功能。</w:t>
      </w:r>
    </w:p>
    <w:p>
      <w:pPr>
        <w:pStyle w:val="34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425" w:leftChars="0" w:hanging="425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转运无需排空麻醉药</w:t>
      </w:r>
      <w:r>
        <w:rPr>
          <w:rFonts w:hint="eastAsia" w:ascii="Times New Roman" w:hAnsi="Times New Roman" w:cs="Times New Roman"/>
          <w:szCs w:val="21"/>
          <w:lang w:eastAsia="zh-CN"/>
        </w:rPr>
        <w:t>物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pStyle w:val="34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425" w:leftChars="0" w:hanging="425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★</w:t>
      </w:r>
      <w:r>
        <w:rPr>
          <w:rFonts w:hint="eastAsia" w:ascii="Times New Roman" w:hAnsi="Times New Roman" w:cs="Times New Roman"/>
          <w:szCs w:val="21"/>
          <w:lang w:val="en-US" w:eastAsia="zh-CN"/>
        </w:rPr>
        <w:t>具备智能化自检指引。</w:t>
      </w:r>
    </w:p>
    <w:p>
      <w:pPr>
        <w:numPr>
          <w:ilvl w:val="0"/>
          <w:numId w:val="2"/>
        </w:numPr>
        <w:spacing w:line="300" w:lineRule="auto"/>
        <w:ind w:left="425" w:leftChars="0" w:hanging="425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具备持续气道高压报警、气道压力上下限报警、潮气量上下限报警、分钟通气量上下限报警、氧浓度上下限报警、电源故障报警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AG报警、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报警</w:t>
      </w:r>
      <w:r>
        <w:rPr>
          <w:rFonts w:ascii="Times New Roman" w:hAnsi="Times New Roman" w:cs="Times New Roman"/>
        </w:rPr>
        <w:t>等报警功能。</w:t>
      </w:r>
    </w:p>
    <w:p>
      <w:pPr>
        <w:pStyle w:val="34"/>
        <w:numPr>
          <w:ilvl w:val="0"/>
          <w:numId w:val="2"/>
        </w:numPr>
        <w:spacing w:line="300" w:lineRule="auto"/>
        <w:ind w:left="425" w:leftChars="0" w:hanging="425" w:firstLineChars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具有国际AGSS废气回收系统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34"/>
        <w:numPr>
          <w:ilvl w:val="0"/>
          <w:numId w:val="2"/>
        </w:numPr>
        <w:spacing w:line="300" w:lineRule="auto"/>
        <w:ind w:left="425" w:leftChars="0" w:hanging="425" w:firstLineChars="0"/>
        <w:rPr>
          <w:rFonts w:ascii="Times New Roman" w:hAnsi="Times New Roman"/>
        </w:rPr>
      </w:pPr>
      <w:r>
        <w:rPr>
          <w:rFonts w:hint="eastAsia" w:ascii="Times New Roman" w:hAnsi="Times New Roman" w:cs="Times New Roman"/>
          <w:lang w:val="en-US" w:eastAsia="zh-CN"/>
        </w:rPr>
        <w:t>高分辨率显示屏。</w:t>
      </w:r>
    </w:p>
    <w:p>
      <w:pPr>
        <w:numPr>
          <w:numId w:val="0"/>
        </w:numPr>
        <w:spacing w:line="300" w:lineRule="auto"/>
        <w:ind w:leftChars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E696E"/>
    <w:multiLevelType w:val="singleLevel"/>
    <w:tmpl w:val="ABCE69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A9"/>
    <w:rsid w:val="00125EF0"/>
    <w:rsid w:val="001367A9"/>
    <w:rsid w:val="001D2712"/>
    <w:rsid w:val="00243195"/>
    <w:rsid w:val="0024471E"/>
    <w:rsid w:val="00244C9F"/>
    <w:rsid w:val="00245CDD"/>
    <w:rsid w:val="00283081"/>
    <w:rsid w:val="00336F1F"/>
    <w:rsid w:val="00351983"/>
    <w:rsid w:val="00383713"/>
    <w:rsid w:val="0039186B"/>
    <w:rsid w:val="003E1855"/>
    <w:rsid w:val="003E2F9C"/>
    <w:rsid w:val="00407608"/>
    <w:rsid w:val="00440E5A"/>
    <w:rsid w:val="0045170D"/>
    <w:rsid w:val="00494113"/>
    <w:rsid w:val="005028B1"/>
    <w:rsid w:val="005C05FE"/>
    <w:rsid w:val="005E521E"/>
    <w:rsid w:val="005E561F"/>
    <w:rsid w:val="00661A92"/>
    <w:rsid w:val="006A71D4"/>
    <w:rsid w:val="006B319D"/>
    <w:rsid w:val="006D2C4B"/>
    <w:rsid w:val="007509A0"/>
    <w:rsid w:val="007735B0"/>
    <w:rsid w:val="00883AB0"/>
    <w:rsid w:val="008E217D"/>
    <w:rsid w:val="00923146"/>
    <w:rsid w:val="0094330B"/>
    <w:rsid w:val="009B5CDB"/>
    <w:rsid w:val="009C3825"/>
    <w:rsid w:val="009F1EC8"/>
    <w:rsid w:val="00A0457C"/>
    <w:rsid w:val="00A96EC3"/>
    <w:rsid w:val="00AA3E3C"/>
    <w:rsid w:val="00AB4786"/>
    <w:rsid w:val="00B23FA4"/>
    <w:rsid w:val="00B71D85"/>
    <w:rsid w:val="00BB69D6"/>
    <w:rsid w:val="00BC7C4F"/>
    <w:rsid w:val="00CD1FB8"/>
    <w:rsid w:val="00D035CA"/>
    <w:rsid w:val="00D03B86"/>
    <w:rsid w:val="00D36535"/>
    <w:rsid w:val="00D402EB"/>
    <w:rsid w:val="00D40545"/>
    <w:rsid w:val="00D87D44"/>
    <w:rsid w:val="00D97B15"/>
    <w:rsid w:val="00E75249"/>
    <w:rsid w:val="00ED3972"/>
    <w:rsid w:val="00F0037D"/>
    <w:rsid w:val="00FA7784"/>
    <w:rsid w:val="00FC68D4"/>
    <w:rsid w:val="00FE1650"/>
    <w:rsid w:val="010269A2"/>
    <w:rsid w:val="02E33970"/>
    <w:rsid w:val="04EE5470"/>
    <w:rsid w:val="0985503F"/>
    <w:rsid w:val="0A02602B"/>
    <w:rsid w:val="0B771F8D"/>
    <w:rsid w:val="0CC3653B"/>
    <w:rsid w:val="0D77319F"/>
    <w:rsid w:val="0DE266C7"/>
    <w:rsid w:val="14314E9C"/>
    <w:rsid w:val="169A2A85"/>
    <w:rsid w:val="182A2715"/>
    <w:rsid w:val="1A04428F"/>
    <w:rsid w:val="1A7316CA"/>
    <w:rsid w:val="1B232245"/>
    <w:rsid w:val="1CE43659"/>
    <w:rsid w:val="1D0D4FCD"/>
    <w:rsid w:val="1E624F3F"/>
    <w:rsid w:val="1F2D3A3A"/>
    <w:rsid w:val="27714144"/>
    <w:rsid w:val="27A32B25"/>
    <w:rsid w:val="327A5D86"/>
    <w:rsid w:val="35F23111"/>
    <w:rsid w:val="37B60042"/>
    <w:rsid w:val="3BA26603"/>
    <w:rsid w:val="3D056A75"/>
    <w:rsid w:val="40E245B2"/>
    <w:rsid w:val="41510EF7"/>
    <w:rsid w:val="4157003E"/>
    <w:rsid w:val="417472C9"/>
    <w:rsid w:val="4392177C"/>
    <w:rsid w:val="443E4D36"/>
    <w:rsid w:val="4A9F087E"/>
    <w:rsid w:val="4B9A7DFA"/>
    <w:rsid w:val="4C6054E7"/>
    <w:rsid w:val="4C886FEF"/>
    <w:rsid w:val="4D0A57EF"/>
    <w:rsid w:val="524E4C5C"/>
    <w:rsid w:val="56AF55B8"/>
    <w:rsid w:val="5AA14678"/>
    <w:rsid w:val="5CF34E93"/>
    <w:rsid w:val="6022432A"/>
    <w:rsid w:val="603A4C5C"/>
    <w:rsid w:val="60697BB3"/>
    <w:rsid w:val="6190182E"/>
    <w:rsid w:val="622B60A8"/>
    <w:rsid w:val="671A3EF9"/>
    <w:rsid w:val="673C2A76"/>
    <w:rsid w:val="6DCB53EE"/>
    <w:rsid w:val="6E2F229B"/>
    <w:rsid w:val="708E5D8D"/>
    <w:rsid w:val="726C11D6"/>
    <w:rsid w:val="795B3344"/>
    <w:rsid w:val="7EC629CB"/>
    <w:rsid w:val="7F556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numPr>
        <w:ilvl w:val="1"/>
        <w:numId w:val="1"/>
      </w:numPr>
      <w:spacing w:line="360" w:lineRule="auto"/>
      <w:ind w:left="578" w:hanging="578"/>
      <w:outlineLvl w:val="1"/>
    </w:pPr>
    <w:rPr>
      <w:rFonts w:ascii="Cambria" w:hAnsi="Cambria"/>
      <w:bCs/>
      <w:sz w:val="24"/>
      <w:szCs w:val="32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26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7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28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5"/>
    <w:semiHidden/>
    <w:unhideWhenUsed/>
    <w:qFormat/>
    <w:uiPriority w:val="99"/>
    <w:rPr>
      <w:rFonts w:ascii="宋体"/>
      <w:sz w:val="18"/>
      <w:szCs w:val="18"/>
    </w:rPr>
  </w:style>
  <w:style w:type="paragraph" w:styleId="12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annotation subject"/>
    <w:basedOn w:val="12"/>
    <w:next w:val="12"/>
    <w:link w:val="37"/>
    <w:semiHidden/>
    <w:unhideWhenUsed/>
    <w:qFormat/>
    <w:uiPriority w:val="99"/>
    <w:rPr>
      <w:b/>
      <w:bCs/>
    </w:r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link w:val="2"/>
    <w:semiHidden/>
    <w:qFormat/>
    <w:uiPriority w:val="0"/>
    <w:rPr>
      <w:b/>
      <w:bCs/>
      <w:kern w:val="44"/>
      <w:sz w:val="24"/>
      <w:szCs w:val="44"/>
    </w:rPr>
  </w:style>
  <w:style w:type="character" w:customStyle="1" w:styleId="21">
    <w:name w:val="标题 2 Char"/>
    <w:link w:val="3"/>
    <w:semiHidden/>
    <w:qFormat/>
    <w:uiPriority w:val="0"/>
    <w:rPr>
      <w:rFonts w:ascii="Cambria" w:hAnsi="Cambria" w:eastAsia="宋体" w:cs="黑体"/>
      <w:bCs/>
      <w:sz w:val="24"/>
      <w:szCs w:val="32"/>
    </w:rPr>
  </w:style>
  <w:style w:type="character" w:customStyle="1" w:styleId="22">
    <w:name w:val="标题 3 Char"/>
    <w:link w:val="4"/>
    <w:semiHidden/>
    <w:qFormat/>
    <w:uiPriority w:val="0"/>
    <w:rPr>
      <w:b/>
      <w:bCs/>
      <w:sz w:val="32"/>
      <w:szCs w:val="32"/>
    </w:rPr>
  </w:style>
  <w:style w:type="character" w:customStyle="1" w:styleId="23">
    <w:name w:val="标题 4 Char"/>
    <w:link w:val="5"/>
    <w:semiHidden/>
    <w:qFormat/>
    <w:uiPriority w:val="0"/>
    <w:rPr>
      <w:rFonts w:ascii="Cambria" w:hAnsi="Cambria" w:eastAsia="宋体" w:cs="黑体"/>
      <w:b/>
      <w:bCs/>
      <w:sz w:val="28"/>
      <w:szCs w:val="28"/>
    </w:rPr>
  </w:style>
  <w:style w:type="character" w:customStyle="1" w:styleId="24">
    <w:name w:val="标题 5 Char"/>
    <w:link w:val="6"/>
    <w:semiHidden/>
    <w:qFormat/>
    <w:uiPriority w:val="0"/>
    <w:rPr>
      <w:b/>
      <w:bCs/>
      <w:sz w:val="28"/>
      <w:szCs w:val="28"/>
    </w:rPr>
  </w:style>
  <w:style w:type="character" w:customStyle="1" w:styleId="25">
    <w:name w:val="标题 6 Char"/>
    <w:link w:val="7"/>
    <w:semiHidden/>
    <w:qFormat/>
    <w:uiPriority w:val="0"/>
    <w:rPr>
      <w:rFonts w:ascii="Cambria" w:hAnsi="Cambria" w:eastAsia="宋体" w:cs="黑体"/>
      <w:b/>
      <w:bCs/>
      <w:sz w:val="24"/>
      <w:szCs w:val="24"/>
    </w:rPr>
  </w:style>
  <w:style w:type="character" w:customStyle="1" w:styleId="26">
    <w:name w:val="标题 7 Char"/>
    <w:link w:val="8"/>
    <w:semiHidden/>
    <w:qFormat/>
    <w:uiPriority w:val="0"/>
    <w:rPr>
      <w:b/>
      <w:bCs/>
      <w:sz w:val="24"/>
      <w:szCs w:val="24"/>
    </w:rPr>
  </w:style>
  <w:style w:type="character" w:customStyle="1" w:styleId="27">
    <w:name w:val="标题 8 Char"/>
    <w:link w:val="9"/>
    <w:semiHidden/>
    <w:qFormat/>
    <w:uiPriority w:val="0"/>
    <w:rPr>
      <w:rFonts w:ascii="Cambria" w:hAnsi="Cambria" w:eastAsia="宋体" w:cs="黑体"/>
      <w:sz w:val="24"/>
      <w:szCs w:val="24"/>
    </w:rPr>
  </w:style>
  <w:style w:type="character" w:customStyle="1" w:styleId="28">
    <w:name w:val="标题 9 Char"/>
    <w:link w:val="10"/>
    <w:semiHidden/>
    <w:qFormat/>
    <w:uiPriority w:val="0"/>
    <w:rPr>
      <w:rFonts w:ascii="Cambria" w:hAnsi="Cambria" w:eastAsia="宋体" w:cs="黑体"/>
      <w:szCs w:val="21"/>
    </w:rPr>
  </w:style>
  <w:style w:type="character" w:customStyle="1" w:styleId="29">
    <w:name w:val="文档结构图 Char"/>
    <w:link w:val="30"/>
    <w:semiHidden/>
    <w:qFormat/>
    <w:uiPriority w:val="0"/>
    <w:rPr>
      <w:rFonts w:ascii="宋体" w:eastAsia="宋体"/>
      <w:sz w:val="18"/>
      <w:szCs w:val="18"/>
    </w:rPr>
  </w:style>
  <w:style w:type="paragraph" w:customStyle="1" w:styleId="30">
    <w:name w:val="文档结构图1"/>
    <w:basedOn w:val="1"/>
    <w:link w:val="29"/>
    <w:qFormat/>
    <w:uiPriority w:val="0"/>
    <w:rPr>
      <w:rFonts w:ascii="宋体"/>
      <w:sz w:val="18"/>
      <w:szCs w:val="18"/>
    </w:rPr>
  </w:style>
  <w:style w:type="character" w:customStyle="1" w:styleId="31">
    <w:name w:val="页脚 Char"/>
    <w:link w:val="14"/>
    <w:semiHidden/>
    <w:qFormat/>
    <w:uiPriority w:val="0"/>
    <w:rPr>
      <w:sz w:val="18"/>
      <w:szCs w:val="18"/>
    </w:rPr>
  </w:style>
  <w:style w:type="character" w:customStyle="1" w:styleId="32">
    <w:name w:val="页眉 Char"/>
    <w:link w:val="15"/>
    <w:semiHidden/>
    <w:qFormat/>
    <w:uiPriority w:val="0"/>
    <w:rPr>
      <w:sz w:val="18"/>
      <w:szCs w:val="18"/>
    </w:rPr>
  </w:style>
  <w:style w:type="paragraph" w:customStyle="1" w:styleId="33">
    <w:name w:val="Char Char Char Char"/>
    <w:basedOn w:val="30"/>
    <w:qFormat/>
    <w:uiPriority w:val="0"/>
    <w:pPr>
      <w:shd w:val="clear" w:color="auto" w:fill="000080"/>
      <w:adjustRightInd w:val="0"/>
      <w:snapToGrid w:val="0"/>
      <w:spacing w:line="360" w:lineRule="auto"/>
    </w:pPr>
    <w:rPr>
      <w:rFonts w:ascii="Times New Roman" w:hAnsi="Times New Roman" w:cs="Times New Roman"/>
      <w:sz w:val="21"/>
      <w:szCs w:val="24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</w:style>
  <w:style w:type="character" w:customStyle="1" w:styleId="35">
    <w:name w:val="文档结构图 Char1"/>
    <w:link w:val="11"/>
    <w:semiHidden/>
    <w:qFormat/>
    <w:uiPriority w:val="99"/>
    <w:rPr>
      <w:rFonts w:ascii="宋体" w:hAnsi="Calibri" w:cs="黑体"/>
      <w:kern w:val="2"/>
      <w:sz w:val="18"/>
      <w:szCs w:val="18"/>
    </w:rPr>
  </w:style>
  <w:style w:type="character" w:customStyle="1" w:styleId="36">
    <w:name w:val="批注文字 Char"/>
    <w:basedOn w:val="18"/>
    <w:link w:val="12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37">
    <w:name w:val="批注主题 Char"/>
    <w:basedOn w:val="36"/>
    <w:link w:val="16"/>
    <w:semiHidden/>
    <w:qFormat/>
    <w:uiPriority w:val="99"/>
    <w:rPr>
      <w:rFonts w:ascii="Calibri" w:hAnsi="Calibri" w:cs="黑体"/>
      <w:b/>
      <w:bCs/>
      <w:kern w:val="2"/>
      <w:sz w:val="21"/>
      <w:szCs w:val="22"/>
    </w:rPr>
  </w:style>
  <w:style w:type="character" w:customStyle="1" w:styleId="38">
    <w:name w:val="批注框文本 Char"/>
    <w:basedOn w:val="18"/>
    <w:link w:val="13"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黄长波</Manager>
  <Company>深圳市科曼医疗设备邮箱公司</Company>
  <Pages>2</Pages>
  <Words>213</Words>
  <Characters>1216</Characters>
  <Lines>10</Lines>
  <Paragraphs>2</Paragraphs>
  <TotalTime>10</TotalTime>
  <ScaleCrop>false</ScaleCrop>
  <LinksUpToDate>false</LinksUpToDate>
  <CharactersWithSpaces>1427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销售文件-科曼医疗; 科曼; 销售支持文件</cp:category>
  <dcterms:created xsi:type="dcterms:W3CDTF">2018-01-25T09:49:00Z</dcterms:created>
  <dc:creator>黄长波</dc:creator>
  <dc:description>科曼医疗市场部--黄长波</dc:description>
  <cp:keywords>手术室和ICU产品线; 科曼麻醉机AX-700</cp:keywords>
  <cp:lastModifiedBy>大贼魔叮当叮</cp:lastModifiedBy>
  <dcterms:modified xsi:type="dcterms:W3CDTF">2019-11-12T23:55:57Z</dcterms:modified>
  <dc:subject>市场部手术室和ICU销售支持</dc:subject>
  <dc:title>手术适和ICU产品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