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1" w:rsidRDefault="002377F1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内排式生物安全柜性能参数要求</w:t>
      </w:r>
    </w:p>
    <w:p w:rsidR="002377F1" w:rsidRDefault="00776DB2">
      <w:pPr>
        <w:spacing w:line="400" w:lineRule="exact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一、技术要求</w:t>
      </w: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0"/>
        <w:gridCol w:w="6504"/>
      </w:tblGrid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bookmarkStart w:id="0" w:name="_GoBack"/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基本要求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内排式生物安全柜</w:t>
            </w:r>
          </w:p>
        </w:tc>
      </w:tr>
      <w:bookmarkEnd w:id="0"/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外形尺寸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r>
              <w:rPr>
                <w:b w:val="0"/>
                <w:bCs/>
                <w:color w:val="000000"/>
              </w:rPr>
              <w:t>1000</w:t>
            </w:r>
            <w:r>
              <w:rPr>
                <w:rFonts w:hint="eastAsia"/>
                <w:b w:val="0"/>
                <w:bCs/>
                <w:color w:val="000000"/>
              </w:rPr>
              <w:t>×</w:t>
            </w:r>
            <w:r>
              <w:rPr>
                <w:b w:val="0"/>
                <w:bCs/>
                <w:color w:val="000000"/>
              </w:rPr>
              <w:t>700</w:t>
            </w:r>
            <w:r>
              <w:rPr>
                <w:rFonts w:hint="eastAsia"/>
                <w:b w:val="0"/>
                <w:bCs/>
                <w:color w:val="000000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 w:val="0"/>
                  <w:bCs/>
                  <w:color w:val="000000"/>
                </w:rPr>
                <w:t>2000mm</w:t>
              </w:r>
            </w:smartTag>
            <w:r>
              <w:rPr>
                <w:b w:val="0"/>
                <w:bCs/>
                <w:color w:val="000000"/>
              </w:rPr>
              <w:t xml:space="preserve"> 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操作区</w:t>
            </w:r>
            <w:proofErr w:type="gramEnd"/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尺寸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r>
              <w:rPr>
                <w:b w:val="0"/>
                <w:bCs/>
                <w:color w:val="000000"/>
              </w:rPr>
              <w:t>900</w:t>
            </w:r>
            <w:r>
              <w:rPr>
                <w:rFonts w:hint="eastAsia"/>
                <w:b w:val="0"/>
                <w:bCs/>
                <w:color w:val="000000"/>
              </w:rPr>
              <w:t>×</w:t>
            </w:r>
            <w:r>
              <w:rPr>
                <w:b w:val="0"/>
                <w:bCs/>
                <w:color w:val="000000"/>
              </w:rPr>
              <w:t>600</w:t>
            </w:r>
            <w:r>
              <w:rPr>
                <w:rFonts w:hint="eastAsia"/>
                <w:b w:val="0"/>
                <w:bCs/>
                <w:color w:val="000000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 w:val="0"/>
                  <w:bCs/>
                  <w:color w:val="000000"/>
                </w:rPr>
                <w:t>650mm</w:t>
              </w:r>
            </w:smartTag>
            <w:r>
              <w:rPr>
                <w:b w:val="0"/>
                <w:bCs/>
                <w:color w:val="000000"/>
              </w:rPr>
              <w:t xml:space="preserve"> 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系统排风总量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smartTag w:uri="urn:schemas-microsoft-com:office:smarttags" w:element="chmetcnv">
              <w:smartTagPr>
                <w:attr w:name="UnitName" w:val="m3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 w:val="0"/>
                  <w:bCs/>
                  <w:color w:val="000000"/>
                </w:rPr>
                <w:t>1000m3</w:t>
              </w:r>
            </w:smartTag>
            <w:r>
              <w:rPr>
                <w:b w:val="0"/>
                <w:bCs/>
                <w:color w:val="000000"/>
              </w:rPr>
              <w:t>/h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紫外灯功率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大于等于</w:t>
            </w:r>
            <w:r>
              <w:rPr>
                <w:b w:val="0"/>
                <w:bCs/>
                <w:color w:val="000000"/>
              </w:rPr>
              <w:t>30W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日光灯功率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大于等于</w:t>
            </w:r>
            <w:r>
              <w:rPr>
                <w:b w:val="0"/>
                <w:bCs/>
                <w:color w:val="000000"/>
              </w:rPr>
              <w:t>20W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下降气流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r>
              <w:rPr>
                <w:b w:val="0"/>
                <w:bCs/>
                <w:color w:val="000000"/>
              </w:rPr>
              <w:t>0.3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流入气流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r>
              <w:rPr>
                <w:b w:val="0"/>
                <w:bCs/>
                <w:color w:val="000000"/>
              </w:rPr>
              <w:t>0.5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过滤效率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大于</w:t>
            </w:r>
            <w:r>
              <w:rPr>
                <w:b w:val="0"/>
                <w:bCs/>
                <w:color w:val="000000"/>
              </w:rPr>
              <w:t>99%</w:t>
            </w:r>
            <w:r>
              <w:rPr>
                <w:rFonts w:hint="eastAsia"/>
                <w:b w:val="0"/>
                <w:bCs/>
                <w:color w:val="000000"/>
              </w:rPr>
              <w:t>，直径</w:t>
            </w:r>
            <w:r>
              <w:rPr>
                <w:b w:val="0"/>
                <w:bCs/>
                <w:color w:val="000000"/>
              </w:rPr>
              <w:t>0.3</w:t>
            </w:r>
            <w:r>
              <w:rPr>
                <w:rFonts w:hint="eastAsia"/>
                <w:b w:val="0"/>
                <w:bCs/>
                <w:color w:val="000000"/>
              </w:rPr>
              <w:t>微米以上微粒都可以有效过滤</w:t>
            </w:r>
          </w:p>
        </w:tc>
      </w:tr>
      <w:tr w:rsidR="002377F1">
        <w:trPr>
          <w:trHeight w:val="630"/>
        </w:trPr>
        <w:tc>
          <w:tcPr>
            <w:tcW w:w="2730" w:type="dxa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噪音</w:t>
            </w:r>
          </w:p>
        </w:tc>
        <w:tc>
          <w:tcPr>
            <w:tcW w:w="6504" w:type="dxa"/>
            <w:vAlign w:val="center"/>
          </w:tcPr>
          <w:p w:rsidR="002377F1" w:rsidRDefault="002377F1">
            <w:pPr>
              <w:pStyle w:val="2"/>
              <w:jc w:val="both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小于</w:t>
            </w:r>
            <w:r>
              <w:rPr>
                <w:b w:val="0"/>
                <w:bCs/>
                <w:color w:val="000000"/>
              </w:rPr>
              <w:t>70</w:t>
            </w:r>
            <w:r>
              <w:rPr>
                <w:rFonts w:hint="eastAsia"/>
                <w:b w:val="0"/>
                <w:bCs/>
                <w:color w:val="000000"/>
              </w:rPr>
              <w:t>分贝</w:t>
            </w:r>
          </w:p>
        </w:tc>
      </w:tr>
      <w:tr w:rsidR="002377F1">
        <w:trPr>
          <w:cantSplit/>
          <w:trHeight w:val="630"/>
        </w:trPr>
        <w:tc>
          <w:tcPr>
            <w:tcW w:w="2730" w:type="dxa"/>
            <w:vMerge w:val="restart"/>
            <w:vAlign w:val="center"/>
          </w:tcPr>
          <w:p w:rsidR="002377F1" w:rsidRDefault="002377F1">
            <w:pPr>
              <w:jc w:val="center"/>
              <w:rPr>
                <w:rFonts w:ascii="楷体_GB2312" w:eastAsia="楷体_GB2312"/>
                <w:bCs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</w:rPr>
              <w:t>生物安全性能</w:t>
            </w:r>
          </w:p>
        </w:tc>
        <w:tc>
          <w:tcPr>
            <w:tcW w:w="6504" w:type="dxa"/>
            <w:tcBorders>
              <w:bottom w:val="single" w:sz="8" w:space="0" w:color="000000"/>
            </w:tcBorders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人员保护：微生物菌落数小于</w:t>
            </w:r>
            <w:r>
              <w:rPr>
                <w:rFonts w:ascii="宋体" w:hAnsi="宋体" w:cs="宋体"/>
                <w:bCs/>
                <w:color w:val="000000"/>
              </w:rPr>
              <w:t>10CFU</w:t>
            </w:r>
          </w:p>
        </w:tc>
      </w:tr>
      <w:tr w:rsidR="002377F1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6504" w:type="dxa"/>
            <w:tcBorders>
              <w:top w:val="single" w:sz="8" w:space="0" w:color="000000"/>
            </w:tcBorders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产品保护：</w:t>
            </w:r>
            <w:r>
              <w:rPr>
                <w:rFonts w:hint="eastAsia"/>
                <w:bCs/>
                <w:color w:val="000000"/>
              </w:rPr>
              <w:t>微生物菌落数</w:t>
            </w:r>
            <w:r>
              <w:rPr>
                <w:rFonts w:ascii="Arial" w:hAnsi="Arial" w:cs="Arial" w:hint="eastAsia"/>
                <w:bCs/>
                <w:color w:val="000000"/>
              </w:rPr>
              <w:t>小于</w:t>
            </w:r>
            <w:r>
              <w:rPr>
                <w:rFonts w:ascii="宋体" w:hAnsi="宋体" w:cs="宋体"/>
                <w:bCs/>
                <w:color w:val="000000"/>
              </w:rPr>
              <w:t>10CFU</w:t>
            </w:r>
          </w:p>
        </w:tc>
      </w:tr>
      <w:tr w:rsidR="002377F1">
        <w:trPr>
          <w:cantSplit/>
          <w:trHeight w:val="630"/>
        </w:trPr>
        <w:tc>
          <w:tcPr>
            <w:tcW w:w="2730" w:type="dxa"/>
            <w:vMerge/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6504" w:type="dxa"/>
            <w:tcBorders>
              <w:top w:val="single" w:sz="8" w:space="0" w:color="000000"/>
            </w:tcBorders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交叉污染保护：</w:t>
            </w:r>
            <w:r>
              <w:rPr>
                <w:rFonts w:hint="eastAsia"/>
                <w:bCs/>
                <w:color w:val="000000"/>
              </w:rPr>
              <w:t>微生物菌落数</w:t>
            </w:r>
            <w:r>
              <w:rPr>
                <w:rFonts w:ascii="Arial" w:hAnsi="Arial" w:cs="Arial" w:hint="eastAsia"/>
                <w:bCs/>
                <w:color w:val="000000"/>
              </w:rPr>
              <w:t>小于</w:t>
            </w:r>
            <w:r>
              <w:rPr>
                <w:rFonts w:ascii="宋体" w:hAnsi="宋体" w:cs="宋体"/>
                <w:bCs/>
                <w:color w:val="000000"/>
              </w:rPr>
              <w:t>5CFU</w:t>
            </w:r>
          </w:p>
        </w:tc>
      </w:tr>
      <w:tr w:rsidR="002377F1" w:rsidTr="0069011C">
        <w:trPr>
          <w:cantSplit/>
          <w:trHeight w:val="630"/>
        </w:trPr>
        <w:tc>
          <w:tcPr>
            <w:tcW w:w="2730" w:type="dxa"/>
            <w:vAlign w:val="center"/>
          </w:tcPr>
          <w:p w:rsidR="002377F1" w:rsidRDefault="002377F1" w:rsidP="0069011C">
            <w:pPr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柜体防泄漏</w:t>
            </w:r>
          </w:p>
        </w:tc>
        <w:tc>
          <w:tcPr>
            <w:tcW w:w="6504" w:type="dxa"/>
            <w:tcBorders>
              <w:top w:val="single" w:sz="8" w:space="0" w:color="000000"/>
            </w:tcBorders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安全柜加压到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500Pa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，保持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30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分钟后气压不低于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400Pa</w:t>
            </w:r>
          </w:p>
        </w:tc>
      </w:tr>
      <w:tr w:rsidR="002377F1" w:rsidTr="0069011C">
        <w:trPr>
          <w:cantSplit/>
          <w:trHeight w:val="630"/>
        </w:trPr>
        <w:tc>
          <w:tcPr>
            <w:tcW w:w="2730" w:type="dxa"/>
            <w:vAlign w:val="center"/>
          </w:tcPr>
          <w:p w:rsidR="002377F1" w:rsidRDefault="002377F1" w:rsidP="0069011C">
            <w:pPr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照度</w:t>
            </w:r>
          </w:p>
        </w:tc>
        <w:tc>
          <w:tcPr>
            <w:tcW w:w="6504" w:type="dxa"/>
            <w:tcBorders>
              <w:top w:val="single" w:sz="8" w:space="0" w:color="000000"/>
            </w:tcBorders>
            <w:vAlign w:val="center"/>
          </w:tcPr>
          <w:p w:rsidR="002377F1" w:rsidRDefault="002377F1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平均照度大于等于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600lx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，每个照度实测值大于等于</w:t>
            </w:r>
            <w:r>
              <w:rPr>
                <w:rFonts w:ascii="楷体_GB2312" w:eastAsia="楷体_GB2312"/>
                <w:bCs/>
                <w:color w:val="000000"/>
                <w:sz w:val="24"/>
              </w:rPr>
              <w:t>400lx</w:t>
            </w:r>
          </w:p>
        </w:tc>
      </w:tr>
    </w:tbl>
    <w:p w:rsidR="002377F1" w:rsidRDefault="002377F1" w:rsidP="00776DB2">
      <w:pPr>
        <w:spacing w:line="560" w:lineRule="exact"/>
        <w:ind w:leftChars="200" w:left="42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</w:t>
      </w:r>
    </w:p>
    <w:p w:rsidR="00776DB2" w:rsidRPr="0022612F" w:rsidRDefault="00776DB2" w:rsidP="00776DB2">
      <w:pPr>
        <w:spacing w:line="360" w:lineRule="auto"/>
        <w:jc w:val="left"/>
        <w:rPr>
          <w:b/>
          <w:sz w:val="24"/>
        </w:rPr>
      </w:pPr>
      <w:r w:rsidRPr="0022612F">
        <w:rPr>
          <w:rFonts w:hint="eastAsia"/>
          <w:b/>
        </w:rPr>
        <w:t>二、</w:t>
      </w:r>
      <w:r w:rsidRPr="0022612F">
        <w:rPr>
          <w:rFonts w:hint="eastAsia"/>
          <w:b/>
          <w:sz w:val="24"/>
        </w:rPr>
        <w:t>售后服务条款：</w:t>
      </w:r>
    </w:p>
    <w:p w:rsidR="00776DB2" w:rsidRPr="00A05BD1" w:rsidRDefault="00776DB2" w:rsidP="00776DB2">
      <w:pPr>
        <w:widowControl/>
        <w:spacing w:after="240"/>
        <w:jc w:val="left"/>
        <w:rPr>
          <w:rFonts w:ascii="宋体" w:hAnsi="宋体" w:cs="宋体"/>
          <w:kern w:val="0"/>
          <w:sz w:val="24"/>
        </w:rPr>
      </w:pPr>
      <w:r w:rsidRPr="00A05BD1">
        <w:rPr>
          <w:rFonts w:ascii="宋体" w:hAnsi="宋体" w:cs="宋体"/>
          <w:kern w:val="0"/>
          <w:sz w:val="24"/>
        </w:rPr>
        <w:t>1、整机保修不少于2年，提供终身定期预防性维护保养次数，每年不少于3次；</w:t>
      </w:r>
      <w:r w:rsidRPr="00A05BD1">
        <w:rPr>
          <w:rFonts w:ascii="宋体" w:hAnsi="宋体" w:cs="宋体"/>
          <w:kern w:val="0"/>
          <w:sz w:val="24"/>
        </w:rPr>
        <w:br/>
        <w:t>2、提供完整的使用手册及说明书一式两份，安装时院方验收；</w:t>
      </w:r>
      <w:r w:rsidRPr="00A05BD1">
        <w:rPr>
          <w:rFonts w:ascii="宋体" w:hAnsi="宋体" w:cs="宋体"/>
          <w:kern w:val="0"/>
          <w:sz w:val="24"/>
        </w:rPr>
        <w:br/>
        <w:t>3、请详细说明设备易损配件及配套耗材、器械的价格，验收合格后10年内保证供应，如不提供，视为免费供应；</w:t>
      </w:r>
      <w:r w:rsidRPr="00A05BD1">
        <w:rPr>
          <w:rFonts w:ascii="宋体" w:hAnsi="宋体" w:cs="宋体"/>
          <w:kern w:val="0"/>
          <w:sz w:val="24"/>
        </w:rPr>
        <w:br/>
        <w:t>4、免费提供人员培训；</w:t>
      </w:r>
      <w:r w:rsidRPr="00A05BD1">
        <w:rPr>
          <w:rFonts w:ascii="宋体" w:hAnsi="宋体" w:cs="宋体"/>
          <w:kern w:val="0"/>
          <w:sz w:val="24"/>
        </w:rPr>
        <w:br/>
        <w:t>5、提供相同型号产品在安徽省内三级医院用户清单；</w:t>
      </w:r>
      <w:r w:rsidRPr="00A05BD1">
        <w:rPr>
          <w:rFonts w:ascii="宋体" w:hAnsi="宋体" w:cs="宋体"/>
          <w:kern w:val="0"/>
          <w:sz w:val="24"/>
        </w:rPr>
        <w:br/>
        <w:t>6、招标文件、投标人投标响应提供的技术参数和英文原版Datasheet翻译件（进口设备）作为设备验收的依据。</w:t>
      </w:r>
    </w:p>
    <w:p w:rsidR="002377F1" w:rsidRPr="00776DB2" w:rsidRDefault="002377F1"/>
    <w:sectPr w:rsidR="002377F1" w:rsidRPr="00776DB2" w:rsidSect="00B617D1">
      <w:pgSz w:w="11906" w:h="16838"/>
      <w:pgMar w:top="779" w:right="964" w:bottom="1091" w:left="96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4A" w:rsidRDefault="0046364A" w:rsidP="00776DB2">
      <w:r>
        <w:separator/>
      </w:r>
    </w:p>
  </w:endnote>
  <w:endnote w:type="continuationSeparator" w:id="0">
    <w:p w:rsidR="0046364A" w:rsidRDefault="0046364A" w:rsidP="0077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4A" w:rsidRDefault="0046364A" w:rsidP="00776DB2">
      <w:r>
        <w:separator/>
      </w:r>
    </w:p>
  </w:footnote>
  <w:footnote w:type="continuationSeparator" w:id="0">
    <w:p w:rsidR="0046364A" w:rsidRDefault="0046364A" w:rsidP="00776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4B7"/>
    <w:rsid w:val="00007A7F"/>
    <w:rsid w:val="001D6DE8"/>
    <w:rsid w:val="001E2150"/>
    <w:rsid w:val="002377F1"/>
    <w:rsid w:val="00301D09"/>
    <w:rsid w:val="0046364A"/>
    <w:rsid w:val="004F4340"/>
    <w:rsid w:val="0064254A"/>
    <w:rsid w:val="0069011C"/>
    <w:rsid w:val="00776DB2"/>
    <w:rsid w:val="00B617D1"/>
    <w:rsid w:val="00B72310"/>
    <w:rsid w:val="00F414B7"/>
    <w:rsid w:val="061F2FC0"/>
    <w:rsid w:val="0A74524C"/>
    <w:rsid w:val="1939779A"/>
    <w:rsid w:val="294645A9"/>
    <w:rsid w:val="53B43A66"/>
    <w:rsid w:val="579C1E25"/>
    <w:rsid w:val="5F4A3C2E"/>
    <w:rsid w:val="6BBD127B"/>
    <w:rsid w:val="6E23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617D1"/>
    <w:pPr>
      <w:keepNext/>
      <w:jc w:val="center"/>
      <w:outlineLvl w:val="1"/>
    </w:pPr>
    <w:rPr>
      <w:rFonts w:ascii="宋体" w:hAnsi="宋体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B617D1"/>
    <w:rPr>
      <w:rFonts w:ascii="宋体" w:eastAsia="宋体" w:hAnsi="宋体" w:cs="Times New Roman"/>
      <w:b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76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DB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DB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ah.027313</cp:lastModifiedBy>
  <cp:revision>6</cp:revision>
  <dcterms:created xsi:type="dcterms:W3CDTF">2017-12-12T08:49:00Z</dcterms:created>
  <dcterms:modified xsi:type="dcterms:W3CDTF">2018-06-19T07:54:00Z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